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3D0A" w14:textId="77777777" w:rsidR="00DD466F" w:rsidRDefault="0055441E">
      <w:pPr>
        <w:spacing w:after="120"/>
        <w:jc w:val="center"/>
      </w:pPr>
      <w:r>
        <w:rPr>
          <w:b/>
          <w:bCs/>
          <w:color w:val="1F5C99"/>
          <w:sz w:val="48"/>
          <w:szCs w:val="48"/>
        </w:rPr>
        <w:t>Beef Genetics &amp; Eating Quality Forum</w:t>
      </w:r>
    </w:p>
    <w:p w14:paraId="7442AE01" w14:textId="77777777" w:rsidR="00DD466F" w:rsidRDefault="0055441E">
      <w:pPr>
        <w:pBdr>
          <w:bottom w:val="single" w:sz="8" w:space="6" w:color="1F5C99"/>
        </w:pBdr>
        <w:spacing w:after="480"/>
        <w:jc w:val="center"/>
      </w:pPr>
      <w:r>
        <w:rPr>
          <w:i/>
          <w:iCs/>
          <w:color w:val="666666"/>
          <w:sz w:val="26"/>
          <w:szCs w:val="26"/>
        </w:rPr>
        <w:t>Industry Discussion Summary</w:t>
      </w:r>
    </w:p>
    <w:p w14:paraId="3D1A427E" w14:textId="77777777" w:rsidR="00DD466F" w:rsidRDefault="00DD466F">
      <w:pPr>
        <w:spacing w:before="80" w:after="80"/>
      </w:pPr>
    </w:p>
    <w:p w14:paraId="3375A56E" w14:textId="77777777" w:rsidR="00DD466F" w:rsidRDefault="0055441E">
      <w:pPr>
        <w:pStyle w:val="Heading1"/>
        <w:pBdr>
          <w:bottom w:val="single" w:sz="6" w:space="4" w:color="1F5C99"/>
        </w:pBdr>
      </w:pPr>
      <w:r>
        <w:t>Overview</w:t>
      </w:r>
    </w:p>
    <w:p w14:paraId="435835A4" w14:textId="432ECA65" w:rsidR="00DD466F" w:rsidRDefault="0055441E">
      <w:pPr>
        <w:spacing w:before="60" w:after="60"/>
      </w:pPr>
      <w:r>
        <w:rPr>
          <w:color w:val="333333"/>
        </w:rPr>
        <w:t>This document summarises a multi-speaker industry forum focused on advances in beef genetics, with particular attention to gene testing for eating quality traits, Omega-3 content, and fat melting point. Speakers included a producer (Ste</w:t>
      </w:r>
      <w:r w:rsidR="00CF74A3">
        <w:rPr>
          <w:color w:val="333333"/>
        </w:rPr>
        <w:t>phen</w:t>
      </w:r>
      <w:r w:rsidR="006616F9">
        <w:rPr>
          <w:color w:val="333333"/>
        </w:rPr>
        <w:t xml:space="preserve"> Peake</w:t>
      </w:r>
      <w:r>
        <w:rPr>
          <w:color w:val="333333"/>
        </w:rPr>
        <w:t>), a researcher (Professor Aduli), and an MLA industry representative (Michael</w:t>
      </w:r>
      <w:r w:rsidR="006616F9">
        <w:rPr>
          <w:color w:val="333333"/>
        </w:rPr>
        <w:t xml:space="preserve"> Crowley</w:t>
      </w:r>
      <w:r>
        <w:rPr>
          <w:color w:val="333333"/>
        </w:rPr>
        <w:t>), alongside contributions from the floor.</w:t>
      </w:r>
    </w:p>
    <w:p w14:paraId="2A0EB5C3" w14:textId="77777777" w:rsidR="00DD466F" w:rsidRDefault="00DD466F">
      <w:pPr>
        <w:spacing w:before="80" w:after="80"/>
      </w:pPr>
    </w:p>
    <w:p w14:paraId="115FC3DF" w14:textId="77777777" w:rsidR="00DD466F" w:rsidRDefault="0055441E">
      <w:pPr>
        <w:pStyle w:val="Heading1"/>
        <w:pBdr>
          <w:bottom w:val="single" w:sz="6" w:space="4" w:color="1F5C99"/>
        </w:pBdr>
      </w:pPr>
      <w:r>
        <w:t>Gene Testing for Eating Quality</w:t>
      </w:r>
    </w:p>
    <w:p w14:paraId="21EA072C" w14:textId="77777777" w:rsidR="00DD466F" w:rsidRDefault="0055441E">
      <w:pPr>
        <w:pStyle w:val="Heading2"/>
      </w:pPr>
      <w:r>
        <w:t>Background &amp; Research</w:t>
      </w:r>
    </w:p>
    <w:p w14:paraId="2A21EF90" w14:textId="28227EA3" w:rsidR="00DD466F" w:rsidRDefault="0055441E">
      <w:pPr>
        <w:spacing w:before="60" w:after="60"/>
      </w:pPr>
      <w:r>
        <w:rPr>
          <w:color w:val="333333"/>
        </w:rPr>
        <w:t>Ste</w:t>
      </w:r>
      <w:r w:rsidR="007C1104">
        <w:rPr>
          <w:color w:val="333333"/>
        </w:rPr>
        <w:t xml:space="preserve">phen </w:t>
      </w:r>
      <w:r>
        <w:rPr>
          <w:color w:val="333333"/>
        </w:rPr>
        <w:t>and Professor Aduli presented seven years of research identifying genetic markers linked to superior marbling, Omega-3 content, and fat melting point in beef cattle. The work began with biopsy-based tissue sampling and has since progressed to simple blood draws, significantly streamlining the process.</w:t>
      </w:r>
    </w:p>
    <w:p w14:paraId="72F03336" w14:textId="77777777" w:rsidR="00DD466F" w:rsidRDefault="00DD466F">
      <w:pPr>
        <w:spacing w:before="80" w:after="80"/>
      </w:pPr>
    </w:p>
    <w:p w14:paraId="03E99EE6" w14:textId="77777777" w:rsidR="00DD466F" w:rsidRDefault="0055441E">
      <w:pPr>
        <w:pStyle w:val="Heading2"/>
      </w:pPr>
      <w:r>
        <w:t>Key Findings</w:t>
      </w:r>
    </w:p>
    <w:p w14:paraId="52C59D10" w14:textId="39211EAC" w:rsidR="00443275" w:rsidRPr="00443275" w:rsidRDefault="00443275" w:rsidP="00667299">
      <w:pPr>
        <w:pStyle w:val="ListParagraph"/>
        <w:spacing w:before="40" w:after="40"/>
        <w:ind w:left="540"/>
      </w:pPr>
    </w:p>
    <w:p w14:paraId="34818FD5" w14:textId="799D7641" w:rsidR="00DD466F" w:rsidRPr="00667299" w:rsidRDefault="0055441E">
      <w:pPr>
        <w:pStyle w:val="ListParagraph"/>
        <w:numPr>
          <w:ilvl w:val="0"/>
          <w:numId w:val="2"/>
        </w:numPr>
        <w:spacing w:before="40" w:after="40"/>
      </w:pPr>
      <w:r>
        <w:rPr>
          <w:color w:val="333333"/>
        </w:rPr>
        <w:t xml:space="preserve">99.9% accuracy — results were independently verified through repeated </w:t>
      </w:r>
      <w:r w:rsidR="00667299">
        <w:rPr>
          <w:color w:val="333333"/>
        </w:rPr>
        <w:t>testing and</w:t>
      </w:r>
      <w:r w:rsidR="00A96478">
        <w:rPr>
          <w:color w:val="333333"/>
        </w:rPr>
        <w:t xml:space="preserve"> Peer review</w:t>
      </w:r>
      <w:r w:rsidR="00667299">
        <w:rPr>
          <w:color w:val="333333"/>
        </w:rPr>
        <w:t xml:space="preserve"> completed.</w:t>
      </w:r>
    </w:p>
    <w:p w14:paraId="6075D8F3" w14:textId="61D829E9" w:rsidR="00667299" w:rsidRDefault="001E3AC2">
      <w:pPr>
        <w:pStyle w:val="ListParagraph"/>
        <w:numPr>
          <w:ilvl w:val="0"/>
          <w:numId w:val="2"/>
        </w:numPr>
        <w:spacing w:before="40" w:after="40"/>
      </w:pPr>
      <w:r>
        <w:rPr>
          <w:color w:val="333333"/>
        </w:rPr>
        <w:t xml:space="preserve">Currently </w:t>
      </w:r>
      <w:r w:rsidR="007F6E5F">
        <w:rPr>
          <w:color w:val="333333"/>
        </w:rPr>
        <w:t>a portable</w:t>
      </w:r>
      <w:r>
        <w:rPr>
          <w:color w:val="333333"/>
        </w:rPr>
        <w:t xml:space="preserve"> PCR machine is being developed</w:t>
      </w:r>
      <w:r w:rsidR="007F6E5F">
        <w:rPr>
          <w:color w:val="333333"/>
        </w:rPr>
        <w:t xml:space="preserve"> for on site testing.</w:t>
      </w:r>
    </w:p>
    <w:p w14:paraId="2E769BF1" w14:textId="1EE127AB" w:rsidR="00632927" w:rsidRPr="00632927" w:rsidRDefault="0055441E">
      <w:pPr>
        <w:pStyle w:val="ListParagraph"/>
        <w:numPr>
          <w:ilvl w:val="0"/>
          <w:numId w:val="2"/>
        </w:numPr>
        <w:spacing w:before="40" w:after="40"/>
      </w:pPr>
      <w:r>
        <w:rPr>
          <w:color w:val="333333"/>
        </w:rPr>
        <w:t>Animals carrying the AA/GG gene variant show a</w:t>
      </w:r>
      <w:r w:rsidR="00273E73">
        <w:rPr>
          <w:color w:val="333333"/>
        </w:rPr>
        <w:t xml:space="preserve">re </w:t>
      </w:r>
      <w:r w:rsidR="009C7976">
        <w:rPr>
          <w:color w:val="333333"/>
        </w:rPr>
        <w:t xml:space="preserve">the key gene linkages to </w:t>
      </w:r>
      <w:r w:rsidR="00353DAC">
        <w:rPr>
          <w:color w:val="333333"/>
        </w:rPr>
        <w:t>Marbling, Fat</w:t>
      </w:r>
      <w:r w:rsidR="009C7976">
        <w:rPr>
          <w:color w:val="333333"/>
        </w:rPr>
        <w:t xml:space="preserve"> melting </w:t>
      </w:r>
      <w:r w:rsidR="0038387C">
        <w:rPr>
          <w:color w:val="333333"/>
        </w:rPr>
        <w:t>Point and Omega 3 long chain polyunsaturated</w:t>
      </w:r>
      <w:r w:rsidR="00601A06">
        <w:rPr>
          <w:color w:val="333333"/>
        </w:rPr>
        <w:t xml:space="preserve"> fats.</w:t>
      </w:r>
    </w:p>
    <w:p w14:paraId="6977B3A5" w14:textId="6884E0FA" w:rsidR="00DD466F" w:rsidRDefault="0055441E">
      <w:pPr>
        <w:pStyle w:val="ListParagraph"/>
        <w:numPr>
          <w:ilvl w:val="0"/>
          <w:numId w:val="2"/>
        </w:numPr>
        <w:spacing w:before="40" w:after="40"/>
      </w:pPr>
      <w:r>
        <w:rPr>
          <w:color w:val="333333"/>
        </w:rPr>
        <w:t xml:space="preserve"> 30–35% </w:t>
      </w:r>
      <w:r w:rsidR="00353DAC">
        <w:rPr>
          <w:color w:val="333333"/>
        </w:rPr>
        <w:t>Hereditability factor</w:t>
      </w:r>
      <w:r>
        <w:rPr>
          <w:color w:val="333333"/>
        </w:rPr>
        <w:t xml:space="preserve"> for superior eating quality traits</w:t>
      </w:r>
      <w:r w:rsidR="00F37A72">
        <w:rPr>
          <w:color w:val="333333"/>
        </w:rPr>
        <w:t>.</w:t>
      </w:r>
    </w:p>
    <w:p w14:paraId="3033B5E8" w14:textId="77777777" w:rsidR="00DD466F" w:rsidRDefault="0055441E">
      <w:pPr>
        <w:pStyle w:val="ListParagraph"/>
        <w:numPr>
          <w:ilvl w:val="0"/>
          <w:numId w:val="2"/>
        </w:numPr>
        <w:spacing w:before="40" w:after="40"/>
      </w:pPr>
      <w:r>
        <w:rPr>
          <w:color w:val="333333"/>
        </w:rPr>
        <w:t>Gene-based testing is stable regardless of feeding system — unlike adipose tissue markers, DNA does not change whether an animal is grass-fed or grain-fed for 400 days</w:t>
      </w:r>
    </w:p>
    <w:p w14:paraId="4AD64D83" w14:textId="77777777" w:rsidR="00DD466F" w:rsidRDefault="0055441E">
      <w:pPr>
        <w:pStyle w:val="ListParagraph"/>
        <w:numPr>
          <w:ilvl w:val="0"/>
          <w:numId w:val="2"/>
        </w:numPr>
        <w:spacing w:before="40" w:after="40"/>
      </w:pPr>
      <w:r>
        <w:rPr>
          <w:color w:val="333333"/>
        </w:rPr>
        <w:t>Sire and dam linkages have been identified within Wagyu and other pedigree lines, allowing targeted multiplication of desirable genetics</w:t>
      </w:r>
    </w:p>
    <w:p w14:paraId="1A687854" w14:textId="77777777" w:rsidR="00DD466F" w:rsidRDefault="0055441E">
      <w:pPr>
        <w:pStyle w:val="ListParagraph"/>
        <w:numPr>
          <w:ilvl w:val="0"/>
          <w:numId w:val="2"/>
        </w:numPr>
        <w:spacing w:before="40" w:after="40"/>
      </w:pPr>
      <w:r>
        <w:rPr>
          <w:color w:val="333333"/>
        </w:rPr>
        <w:t>Early selective use of bulls carrying these genes has measurably improved eating quality traits across the herd over 18 months</w:t>
      </w:r>
    </w:p>
    <w:p w14:paraId="34DCEAE9" w14:textId="77777777" w:rsidR="00DD466F" w:rsidRDefault="00DD466F">
      <w:pPr>
        <w:spacing w:before="80" w:after="80"/>
      </w:pPr>
    </w:p>
    <w:p w14:paraId="1A2CAF8F" w14:textId="77777777" w:rsidR="00DD466F" w:rsidRDefault="0055441E">
      <w:pPr>
        <w:pStyle w:val="Heading2"/>
      </w:pPr>
      <w:r>
        <w:t>Next Steps</w:t>
      </w:r>
    </w:p>
    <w:p w14:paraId="3F57BC4B" w14:textId="55FD9208" w:rsidR="00DD466F" w:rsidRDefault="0055441E">
      <w:pPr>
        <w:pStyle w:val="ListParagraph"/>
        <w:numPr>
          <w:ilvl w:val="0"/>
          <w:numId w:val="2"/>
        </w:numPr>
        <w:spacing w:before="40" w:after="40"/>
      </w:pPr>
      <w:r>
        <w:rPr>
          <w:color w:val="333333"/>
        </w:rPr>
        <w:t>Deploy the portable testing machine on-farm to test all s</w:t>
      </w:r>
      <w:r w:rsidR="00CC05C3">
        <w:rPr>
          <w:color w:val="333333"/>
        </w:rPr>
        <w:t>tock</w:t>
      </w:r>
      <w:r>
        <w:rPr>
          <w:color w:val="333333"/>
        </w:rPr>
        <w:t xml:space="preserve"> at an early age</w:t>
      </w:r>
    </w:p>
    <w:p w14:paraId="23DF5DB1" w14:textId="77777777" w:rsidR="00DD466F" w:rsidRDefault="0055441E">
      <w:pPr>
        <w:pStyle w:val="ListParagraph"/>
        <w:numPr>
          <w:ilvl w:val="0"/>
          <w:numId w:val="2"/>
        </w:numPr>
        <w:spacing w:before="40" w:after="40"/>
      </w:pPr>
      <w:r>
        <w:rPr>
          <w:color w:val="333333"/>
        </w:rPr>
        <w:t>Run a combined feedlot and grass-fed commercial trial to validate results at scale</w:t>
      </w:r>
    </w:p>
    <w:p w14:paraId="4B1A1DFA" w14:textId="37950BD3" w:rsidR="00DD466F" w:rsidRDefault="00640B85">
      <w:pPr>
        <w:pStyle w:val="ListParagraph"/>
        <w:numPr>
          <w:ilvl w:val="0"/>
          <w:numId w:val="2"/>
        </w:numPr>
        <w:spacing w:before="40" w:after="40"/>
      </w:pPr>
      <w:r>
        <w:rPr>
          <w:color w:val="333333"/>
        </w:rPr>
        <w:lastRenderedPageBreak/>
        <w:t>Potentially</w:t>
      </w:r>
      <w:r w:rsidR="000D4707">
        <w:rPr>
          <w:color w:val="333333"/>
        </w:rPr>
        <w:t xml:space="preserve"> </w:t>
      </w:r>
      <w:r>
        <w:rPr>
          <w:color w:val="333333"/>
        </w:rPr>
        <w:t>e</w:t>
      </w:r>
      <w:r w:rsidR="0055441E">
        <w:rPr>
          <w:color w:val="333333"/>
        </w:rPr>
        <w:t>mbed gene status into pedigree records and EBV (Estimated Breeding Value) systems</w:t>
      </w:r>
    </w:p>
    <w:p w14:paraId="43FCCF05" w14:textId="2FD3F391" w:rsidR="00DD466F" w:rsidRDefault="0055441E">
      <w:pPr>
        <w:pStyle w:val="ListParagraph"/>
        <w:numPr>
          <w:ilvl w:val="0"/>
          <w:numId w:val="2"/>
        </w:numPr>
        <w:spacing w:before="40" w:after="40"/>
      </w:pPr>
      <w:r>
        <w:rPr>
          <w:color w:val="333333"/>
        </w:rPr>
        <w:t xml:space="preserve">Accelerate multiplication of high-performing genetics through </w:t>
      </w:r>
      <w:r w:rsidR="00AE665C">
        <w:rPr>
          <w:color w:val="333333"/>
        </w:rPr>
        <w:t xml:space="preserve"> artificial insemination and </w:t>
      </w:r>
      <w:r>
        <w:rPr>
          <w:color w:val="333333"/>
        </w:rPr>
        <w:t>embryo transfer programs</w:t>
      </w:r>
    </w:p>
    <w:p w14:paraId="549ECC6E" w14:textId="77777777" w:rsidR="00DD466F" w:rsidRDefault="00DD466F">
      <w:pPr>
        <w:spacing w:before="80" w:after="80"/>
      </w:pPr>
    </w:p>
    <w:p w14:paraId="6B157B17" w14:textId="77777777" w:rsidR="00DD466F" w:rsidRDefault="0055441E">
      <w:pPr>
        <w:pStyle w:val="Heading1"/>
        <w:pBdr>
          <w:bottom w:val="single" w:sz="6" w:space="4" w:color="1F5C99"/>
        </w:pBdr>
      </w:pPr>
      <w:r>
        <w:t>Practical Applications</w:t>
      </w:r>
    </w:p>
    <w:p w14:paraId="3220071C" w14:textId="77777777" w:rsidR="00DD466F" w:rsidRDefault="0055441E">
      <w:pPr>
        <w:pStyle w:val="Heading2"/>
      </w:pPr>
      <w:r>
        <w:t>Feedlot Segregation</w:t>
      </w:r>
    </w:p>
    <w:p w14:paraId="11BD8A6D" w14:textId="314C30DA" w:rsidR="00DD466F" w:rsidRDefault="0055441E">
      <w:pPr>
        <w:spacing w:before="60" w:after="60"/>
      </w:pPr>
      <w:r>
        <w:rPr>
          <w:color w:val="333333"/>
        </w:rPr>
        <w:t>The gene test provides a</w:t>
      </w:r>
      <w:r w:rsidR="00E36062">
        <w:rPr>
          <w:color w:val="333333"/>
        </w:rPr>
        <w:t xml:space="preserve"> potenial</w:t>
      </w:r>
      <w:r>
        <w:rPr>
          <w:color w:val="333333"/>
        </w:rPr>
        <w:t xml:space="preserve"> clear drafting tool for feedlot operators:</w:t>
      </w:r>
    </w:p>
    <w:p w14:paraId="2F74357D" w14:textId="77777777" w:rsidR="00DD466F" w:rsidRDefault="0055441E">
      <w:pPr>
        <w:pStyle w:val="ListParagraph"/>
        <w:numPr>
          <w:ilvl w:val="0"/>
          <w:numId w:val="2"/>
        </w:numPr>
        <w:spacing w:before="40" w:after="40"/>
      </w:pPr>
      <w:r>
        <w:rPr>
          <w:color w:val="333333"/>
        </w:rPr>
        <w:t>Steers carrying AA/GG gene: direct to long-fed (high-days-on-feed) pens</w:t>
      </w:r>
    </w:p>
    <w:p w14:paraId="1834D79A" w14:textId="77777777" w:rsidR="00DD466F" w:rsidRDefault="0055441E">
      <w:pPr>
        <w:pStyle w:val="ListParagraph"/>
        <w:numPr>
          <w:ilvl w:val="0"/>
          <w:numId w:val="2"/>
        </w:numPr>
        <w:spacing w:before="40" w:after="40"/>
      </w:pPr>
      <w:r>
        <w:rPr>
          <w:color w:val="333333"/>
        </w:rPr>
        <w:t>Steers carrying the heterozygous G gene: short-fed pens — they may perform, but with greater inconsistency</w:t>
      </w:r>
    </w:p>
    <w:p w14:paraId="3E3FE498" w14:textId="77777777" w:rsidR="00DD466F" w:rsidRDefault="0055441E">
      <w:pPr>
        <w:spacing w:before="60" w:after="60"/>
      </w:pPr>
      <w:r>
        <w:rPr>
          <w:color w:val="333333"/>
        </w:rPr>
        <w:t>This approach could deliver significant savings for feedlot operators through more precise allocation and reduced variability in grading outcomes.</w:t>
      </w:r>
    </w:p>
    <w:p w14:paraId="34317728" w14:textId="77777777" w:rsidR="00DD466F" w:rsidRDefault="00DD466F">
      <w:pPr>
        <w:spacing w:before="80" w:after="80"/>
      </w:pPr>
    </w:p>
    <w:p w14:paraId="68B50E7F" w14:textId="77777777" w:rsidR="00DD466F" w:rsidRDefault="0055441E">
      <w:pPr>
        <w:pStyle w:val="Heading2"/>
      </w:pPr>
      <w:r>
        <w:t>Wagyu Cross Breeding Opportunity</w:t>
      </w:r>
    </w:p>
    <w:p w14:paraId="04FA1D98" w14:textId="1C394232" w:rsidR="00DD466F" w:rsidRDefault="0055441E">
      <w:pPr>
        <w:spacing w:before="60" w:after="60"/>
      </w:pPr>
      <w:r>
        <w:rPr>
          <w:color w:val="333333"/>
        </w:rPr>
        <w:t>High-marbl</w:t>
      </w:r>
      <w:r w:rsidR="00441E03">
        <w:rPr>
          <w:color w:val="333333"/>
        </w:rPr>
        <w:t>ing</w:t>
      </w:r>
      <w:r w:rsidR="006D5C05">
        <w:rPr>
          <w:color w:val="333333"/>
        </w:rPr>
        <w:t xml:space="preserve"> Tajima</w:t>
      </w:r>
      <w:r>
        <w:rPr>
          <w:color w:val="333333"/>
        </w:rPr>
        <w:t xml:space="preserve"> Wagyu </w:t>
      </w:r>
      <w:r w:rsidR="006D5C05">
        <w:rPr>
          <w:color w:val="333333"/>
        </w:rPr>
        <w:t>genetics</w:t>
      </w:r>
      <w:r>
        <w:rPr>
          <w:color w:val="333333"/>
        </w:rPr>
        <w:t xml:space="preserve"> (e.g. Michifuku, Itoshigenami) often carry insufficient carcass </w:t>
      </w:r>
      <w:r w:rsidR="00E97B34">
        <w:rPr>
          <w:color w:val="333333"/>
        </w:rPr>
        <w:t>weight, yield</w:t>
      </w:r>
      <w:r w:rsidR="00065F51">
        <w:rPr>
          <w:color w:val="333333"/>
        </w:rPr>
        <w:t xml:space="preserve"> and maternal traits</w:t>
      </w:r>
      <w:r>
        <w:rPr>
          <w:color w:val="333333"/>
        </w:rPr>
        <w:t xml:space="preserve">. The research points to an opportunity: identifying </w:t>
      </w:r>
      <w:r w:rsidR="009B6D1B">
        <w:rPr>
          <w:color w:val="333333"/>
        </w:rPr>
        <w:t xml:space="preserve"> key </w:t>
      </w:r>
      <w:r>
        <w:rPr>
          <w:color w:val="333333"/>
        </w:rPr>
        <w:t xml:space="preserve">bulls </w:t>
      </w:r>
      <w:r w:rsidR="00E97B34">
        <w:rPr>
          <w:color w:val="333333"/>
        </w:rPr>
        <w:t>in Wagyu</w:t>
      </w:r>
      <w:r>
        <w:rPr>
          <w:color w:val="333333"/>
        </w:rPr>
        <w:t xml:space="preserve"> lines</w:t>
      </w:r>
      <w:r w:rsidR="003F754B">
        <w:rPr>
          <w:color w:val="333333"/>
        </w:rPr>
        <w:t xml:space="preserve"> that have consistently higher</w:t>
      </w:r>
      <w:r w:rsidR="00611248">
        <w:rPr>
          <w:color w:val="333333"/>
        </w:rPr>
        <w:t xml:space="preserve"> carcass weights, </w:t>
      </w:r>
      <w:r w:rsidR="006C3D1D">
        <w:rPr>
          <w:color w:val="333333"/>
        </w:rPr>
        <w:t>maternal traits</w:t>
      </w:r>
      <w:r>
        <w:rPr>
          <w:color w:val="333333"/>
        </w:rPr>
        <w:t xml:space="preserve"> (e.g. Sh</w:t>
      </w:r>
      <w:r w:rsidR="00883FAE">
        <w:rPr>
          <w:color w:val="333333"/>
        </w:rPr>
        <w:t>imane,</w:t>
      </w:r>
      <w:r>
        <w:rPr>
          <w:color w:val="333333"/>
        </w:rPr>
        <w:t xml:space="preserve"> Tottori) that </w:t>
      </w:r>
      <w:r w:rsidR="006C3D1D">
        <w:rPr>
          <w:color w:val="333333"/>
        </w:rPr>
        <w:t>don’t seem to be a</w:t>
      </w:r>
      <w:r w:rsidR="00E424F0">
        <w:rPr>
          <w:color w:val="333333"/>
        </w:rPr>
        <w:t>s</w:t>
      </w:r>
      <w:r w:rsidR="006C3D1D">
        <w:rPr>
          <w:color w:val="333333"/>
        </w:rPr>
        <w:t xml:space="preserve"> consistent</w:t>
      </w:r>
      <w:r>
        <w:rPr>
          <w:color w:val="333333"/>
        </w:rPr>
        <w:t xml:space="preserve"> carry the eating quality genes. Using these bulls would preserve carcass performance while delivering consistency in marbling and fat quality — with no trade-off.</w:t>
      </w:r>
    </w:p>
    <w:p w14:paraId="0A4E0293" w14:textId="77777777" w:rsidR="00DD466F" w:rsidRDefault="00DD466F">
      <w:pPr>
        <w:spacing w:before="80" w:after="80"/>
      </w:pPr>
    </w:p>
    <w:p w14:paraId="6DC57746" w14:textId="77777777" w:rsidR="00DD466F" w:rsidRDefault="0055441E">
      <w:pPr>
        <w:pStyle w:val="Heading2"/>
      </w:pPr>
      <w:r>
        <w:t>Cooking Implications</w:t>
      </w:r>
    </w:p>
    <w:p w14:paraId="4B7DA945" w14:textId="77777777" w:rsidR="00DD466F" w:rsidRDefault="0055441E">
      <w:pPr>
        <w:spacing w:before="60" w:after="60"/>
      </w:pPr>
      <w:r>
        <w:rPr>
          <w:color w:val="333333"/>
        </w:rPr>
        <w:t>Low melting point fat — a key trait in these high-performing animals — requires an adjusted cooking approach:</w:t>
      </w:r>
    </w:p>
    <w:p w14:paraId="2ED3AB30" w14:textId="77777777" w:rsidR="00DD466F" w:rsidRDefault="0055441E">
      <w:pPr>
        <w:pStyle w:val="ListParagraph"/>
        <w:numPr>
          <w:ilvl w:val="0"/>
          <w:numId w:val="2"/>
        </w:numPr>
        <w:spacing w:before="40" w:after="40"/>
      </w:pPr>
      <w:r>
        <w:rPr>
          <w:color w:val="333333"/>
        </w:rPr>
        <w:t>Remove from heat at approximately 53°C (rather than the standard temperature for conventional beef)</w:t>
      </w:r>
    </w:p>
    <w:p w14:paraId="095B123A" w14:textId="77777777" w:rsidR="00DD466F" w:rsidRDefault="0055441E">
      <w:pPr>
        <w:pStyle w:val="ListParagraph"/>
        <w:numPr>
          <w:ilvl w:val="0"/>
          <w:numId w:val="2"/>
        </w:numPr>
        <w:spacing w:before="40" w:after="40"/>
      </w:pPr>
      <w:r>
        <w:rPr>
          <w:color w:val="333333"/>
        </w:rPr>
        <w:t>Rest before slicing to allow carry-over cooking to complete</w:t>
      </w:r>
    </w:p>
    <w:p w14:paraId="05D700FB" w14:textId="77777777" w:rsidR="00DD466F" w:rsidRDefault="0055441E">
      <w:pPr>
        <w:spacing w:before="60" w:after="60"/>
      </w:pPr>
      <w:r>
        <w:rPr>
          <w:color w:val="333333"/>
        </w:rPr>
        <w:t>Industry experience from the sheep sector confirms that without this technique, low-melting-point product is frequently returned as overcooked. Consumer and chef education will be an important part of any branded program.</w:t>
      </w:r>
    </w:p>
    <w:p w14:paraId="244D62B8" w14:textId="77777777" w:rsidR="00DD466F" w:rsidRDefault="00DD466F">
      <w:pPr>
        <w:spacing w:before="80" w:after="80"/>
      </w:pPr>
    </w:p>
    <w:p w14:paraId="47D0F5E6" w14:textId="77777777" w:rsidR="00DD466F" w:rsidRDefault="0055441E">
      <w:pPr>
        <w:pStyle w:val="Heading1"/>
        <w:pBdr>
          <w:bottom w:val="single" w:sz="6" w:space="4" w:color="1F5C99"/>
        </w:pBdr>
      </w:pPr>
      <w:r>
        <w:t>Industry Context &amp; MLA Perspective</w:t>
      </w:r>
    </w:p>
    <w:p w14:paraId="36765637" w14:textId="77777777" w:rsidR="00DD466F" w:rsidRDefault="0055441E">
      <w:pPr>
        <w:pStyle w:val="Heading2"/>
      </w:pPr>
      <w:r>
        <w:t>MSA Grading &amp; Research Gaps</w:t>
      </w:r>
    </w:p>
    <w:p w14:paraId="74D657C4" w14:textId="77777777" w:rsidR="00DD466F" w:rsidRDefault="0055441E">
      <w:pPr>
        <w:spacing w:before="60" w:after="60"/>
      </w:pPr>
      <w:r>
        <w:rPr>
          <w:color w:val="333333"/>
        </w:rPr>
        <w:t>Michael (MLA) confirmed that the MSA grading model already captures a broad range of quality drivers — tenderness, juiciness, flavour, and overall liking — through measurable factors including ultimate pH, marbling score, fat thickness, carcass weight, breed content, HGP use, and hanging method. However, he acknowledged the following gaps relevant to this research:</w:t>
      </w:r>
    </w:p>
    <w:p w14:paraId="5DF1E799" w14:textId="77777777" w:rsidR="00DD466F" w:rsidRDefault="0055441E">
      <w:pPr>
        <w:pStyle w:val="ListParagraph"/>
        <w:numPr>
          <w:ilvl w:val="0"/>
          <w:numId w:val="2"/>
        </w:numPr>
        <w:spacing w:before="40" w:after="40"/>
      </w:pPr>
      <w:r>
        <w:rPr>
          <w:color w:val="333333"/>
        </w:rPr>
        <w:lastRenderedPageBreak/>
        <w:t>Fat quality and melting point are not currently specifically tested within the MSA model</w:t>
      </w:r>
    </w:p>
    <w:p w14:paraId="244EB9EA" w14:textId="77777777" w:rsidR="00DD466F" w:rsidRDefault="0055441E">
      <w:pPr>
        <w:pStyle w:val="ListParagraph"/>
        <w:numPr>
          <w:ilvl w:val="0"/>
          <w:numId w:val="2"/>
        </w:numPr>
        <w:spacing w:before="40" w:after="40"/>
      </w:pPr>
      <w:r>
        <w:rPr>
          <w:color w:val="333333"/>
        </w:rPr>
        <w:t>Omega-3 enrichment as a labelled, verifiable consumer claim has not been developed in beef</w:t>
      </w:r>
    </w:p>
    <w:p w14:paraId="7B3F1DF8" w14:textId="77777777" w:rsidR="00DD466F" w:rsidRDefault="0055441E">
      <w:pPr>
        <w:pStyle w:val="ListParagraph"/>
        <w:numPr>
          <w:ilvl w:val="0"/>
          <w:numId w:val="2"/>
        </w:numPr>
        <w:spacing w:before="40" w:after="40"/>
      </w:pPr>
      <w:r>
        <w:rPr>
          <w:color w:val="333333"/>
        </w:rPr>
        <w:t>Flavour differentiation between production systems and breeds is an area of ongoing work</w:t>
      </w:r>
    </w:p>
    <w:p w14:paraId="3F6DBCBD" w14:textId="77777777" w:rsidR="00DD466F" w:rsidRDefault="00DD466F">
      <w:pPr>
        <w:spacing w:before="80" w:after="80"/>
      </w:pPr>
    </w:p>
    <w:p w14:paraId="6FEE6C0F" w14:textId="77777777" w:rsidR="00DD466F" w:rsidRDefault="0055441E">
      <w:pPr>
        <w:pStyle w:val="Heading2"/>
      </w:pPr>
      <w:r>
        <w:t>Outcome-Based Marketing Direction</w:t>
      </w:r>
    </w:p>
    <w:p w14:paraId="28B46DA4" w14:textId="77777777" w:rsidR="00DD466F" w:rsidRDefault="0055441E">
      <w:pPr>
        <w:spacing w:before="60" w:after="60"/>
      </w:pPr>
      <w:r>
        <w:rPr>
          <w:color w:val="333333"/>
        </w:rPr>
        <w:t>MLA indicated the industry is moving toward outcome-based quality measurement — rewarding producers who meet objective specifications rather than rewarding breed identity alone. This shift would:</w:t>
      </w:r>
    </w:p>
    <w:p w14:paraId="2CDEFF86" w14:textId="77777777" w:rsidR="00DD466F" w:rsidRDefault="0055441E">
      <w:pPr>
        <w:pStyle w:val="ListParagraph"/>
        <w:numPr>
          <w:ilvl w:val="0"/>
          <w:numId w:val="2"/>
        </w:numPr>
        <w:spacing w:before="40" w:after="40"/>
      </w:pPr>
      <w:r>
        <w:rPr>
          <w:color w:val="333333"/>
        </w:rPr>
        <w:t>Enable cross-breed programs (e.g. Angus x Hereford x Wagyu) to be evaluated on merit</w:t>
      </w:r>
    </w:p>
    <w:p w14:paraId="01FD9472" w14:textId="77777777" w:rsidR="00DD466F" w:rsidRDefault="0055441E">
      <w:pPr>
        <w:pStyle w:val="ListParagraph"/>
        <w:numPr>
          <w:ilvl w:val="0"/>
          <w:numId w:val="2"/>
        </w:numPr>
        <w:spacing w:before="40" w:after="40"/>
      </w:pPr>
      <w:r>
        <w:rPr>
          <w:color w:val="333333"/>
        </w:rPr>
        <w:t>Allow the MSA Index to serve as a herd-level eating quality benchmark</w:t>
      </w:r>
    </w:p>
    <w:p w14:paraId="783487F1" w14:textId="77777777" w:rsidR="00DD466F" w:rsidRDefault="0055441E">
      <w:pPr>
        <w:pStyle w:val="ListParagraph"/>
        <w:numPr>
          <w:ilvl w:val="0"/>
          <w:numId w:val="2"/>
        </w:numPr>
        <w:spacing w:before="40" w:after="40"/>
      </w:pPr>
      <w:r>
        <w:rPr>
          <w:color w:val="333333"/>
        </w:rPr>
        <w:t>Incentivise investment in genetics and production systems that deliver verifiable consumer outcomes</w:t>
      </w:r>
    </w:p>
    <w:p w14:paraId="1250210A" w14:textId="77777777" w:rsidR="00DD466F" w:rsidRDefault="00DD466F">
      <w:pPr>
        <w:spacing w:before="80" w:after="80"/>
      </w:pPr>
    </w:p>
    <w:p w14:paraId="27104A2F" w14:textId="77777777" w:rsidR="00DD466F" w:rsidRDefault="0055441E">
      <w:pPr>
        <w:pStyle w:val="Heading2"/>
      </w:pPr>
      <w:r>
        <w:t>Omega-3 Labelling Opportunity</w:t>
      </w:r>
    </w:p>
    <w:p w14:paraId="36FAC6D7" w14:textId="77777777" w:rsidR="00DD466F" w:rsidRDefault="0055441E">
      <w:pPr>
        <w:spacing w:before="60" w:after="60"/>
      </w:pPr>
      <w:r>
        <w:rPr>
          <w:color w:val="333333"/>
        </w:rPr>
        <w:t>The forum identified a significant commercial opportunity in Omega-3 labelling for beef. Several heifers in the trial tested above 30mg per 100g — a meaningful health claim. Michael drew a parallel with the seafood sector, where wild-caught versus farmed salmon carry very different Omega-3 levels, and labelling is becoming a key point of differentiation. No beef supply chain is currently making a verified Omega-3 claim as part of its brand positioning — this represents a genuine first-mover opportunity.</w:t>
      </w:r>
    </w:p>
    <w:p w14:paraId="4DAAF0CF" w14:textId="77777777" w:rsidR="00DD466F" w:rsidRDefault="00DD466F">
      <w:pPr>
        <w:spacing w:before="80" w:after="80"/>
      </w:pPr>
    </w:p>
    <w:p w14:paraId="31E512B6" w14:textId="77777777" w:rsidR="00DD466F" w:rsidRDefault="0055441E">
      <w:pPr>
        <w:pStyle w:val="Heading2"/>
      </w:pPr>
      <w:r>
        <w:t>R&amp;D Funding</w:t>
      </w:r>
    </w:p>
    <w:p w14:paraId="3C0B9DF8" w14:textId="77777777" w:rsidR="00DD466F" w:rsidRDefault="0055441E">
      <w:pPr>
        <w:spacing w:before="60" w:after="60"/>
      </w:pPr>
      <w:r>
        <w:rPr>
          <w:color w:val="333333"/>
        </w:rPr>
        <w:t>MLA operates a dollar-for-dollar matched R&amp;D funding program (no levies involved). This was flagged as a potential mechanism to support the next phase of commercial validation and scaling of the gene testing work.</w:t>
      </w:r>
    </w:p>
    <w:p w14:paraId="24B8025F" w14:textId="77777777" w:rsidR="00DD466F" w:rsidRDefault="00DD466F">
      <w:pPr>
        <w:spacing w:before="80" w:after="80"/>
      </w:pPr>
    </w:p>
    <w:p w14:paraId="423FB0BB" w14:textId="77777777" w:rsidR="00DD466F" w:rsidRDefault="0055441E">
      <w:pPr>
        <w:pStyle w:val="Heading1"/>
        <w:pBdr>
          <w:bottom w:val="single" w:sz="6" w:space="4" w:color="1F5C99"/>
        </w:pBdr>
      </w:pPr>
      <w:r>
        <w:t>Market Tailwinds</w:t>
      </w:r>
    </w:p>
    <w:p w14:paraId="206BD4F2" w14:textId="77777777" w:rsidR="00DD466F" w:rsidRDefault="0055441E">
      <w:pPr>
        <w:pStyle w:val="Heading2"/>
      </w:pPr>
      <w:r>
        <w:t>GLP-1 Obesity Drugs &amp; Protein Demand</w:t>
      </w:r>
    </w:p>
    <w:p w14:paraId="63D507AD" w14:textId="77777777" w:rsidR="00DD466F" w:rsidRDefault="0055441E">
      <w:pPr>
        <w:spacing w:before="60" w:after="60"/>
      </w:pPr>
      <w:r>
        <w:rPr>
          <w:color w:val="333333"/>
        </w:rPr>
        <w:t>Speakers noted the rapid uptake of GLP-1 drugs (Ozempic, Wegovy) in the United States. Clinical guidance for patients on these drugs typically recommends a high-quality protein diet. Early signals suggest this is contributing to increased beef consumption, particularly for premium, nutrient-dense product. MLA is actively gathering insights to develop marketing programs around this trend.</w:t>
      </w:r>
    </w:p>
    <w:p w14:paraId="7E9467C9" w14:textId="77777777" w:rsidR="00DD466F" w:rsidRDefault="00DD466F">
      <w:pPr>
        <w:spacing w:before="80" w:after="80"/>
      </w:pPr>
    </w:p>
    <w:p w14:paraId="1E5E9876" w14:textId="77777777" w:rsidR="00DD466F" w:rsidRDefault="0055441E">
      <w:pPr>
        <w:pStyle w:val="Heading2"/>
      </w:pPr>
      <w:r>
        <w:t>Global Shortage of High-Grade Beef</w:t>
      </w:r>
    </w:p>
    <w:p w14:paraId="2E0BA5E2" w14:textId="77777777" w:rsidR="00DD466F" w:rsidRDefault="0055441E">
      <w:pPr>
        <w:spacing w:before="60" w:after="60"/>
      </w:pPr>
      <w:r>
        <w:rPr>
          <w:color w:val="333333"/>
        </w:rPr>
        <w:t>Referenced analysts (Global Agri Trends) have identified a structural shortage of high-end graded beef in global markets. The research presented directly targets this segment, with the gene test providing a pathway to breed and identify elite product at scale.</w:t>
      </w:r>
    </w:p>
    <w:p w14:paraId="0FE79FBA" w14:textId="77777777" w:rsidR="00DD466F" w:rsidRDefault="00DD466F">
      <w:pPr>
        <w:spacing w:before="80" w:after="80"/>
      </w:pPr>
    </w:p>
    <w:p w14:paraId="43E76721" w14:textId="77777777" w:rsidR="00DD466F" w:rsidRDefault="0055441E">
      <w:pPr>
        <w:pStyle w:val="Heading1"/>
        <w:pBdr>
          <w:bottom w:val="single" w:sz="6" w:space="4" w:color="1F5C99"/>
        </w:pBdr>
      </w:pPr>
      <w:r>
        <w:t>Broader Vision: Cross-Breed Collaboration</w:t>
      </w:r>
    </w:p>
    <w:p w14:paraId="1F6C3E8C" w14:textId="56770DC6" w:rsidR="00DD466F" w:rsidRDefault="0055441E">
      <w:pPr>
        <w:spacing w:before="60" w:after="60"/>
      </w:pPr>
      <w:r>
        <w:rPr>
          <w:color w:val="333333"/>
        </w:rPr>
        <w:t xml:space="preserve">Professor Aduli articulated a longer-term aspiration: a round-table between Angus, Wagyu, and Hereford breed societies to develop a composite breed combining the best traits of each — high marbling, fast growth, structural soundness, and eating quality genetics. He referenced the </w:t>
      </w:r>
      <w:r w:rsidR="00484741">
        <w:rPr>
          <w:color w:val="333333"/>
        </w:rPr>
        <w:t>[Gilmore sheep</w:t>
      </w:r>
      <w:r w:rsidR="005277A5">
        <w:rPr>
          <w:color w:val="333333"/>
        </w:rPr>
        <w:t>]</w:t>
      </w:r>
      <w:r>
        <w:rPr>
          <w:color w:val="333333"/>
        </w:rPr>
        <w:t xml:space="preserve"> cross-breeding model as a precedent for productive collaboration across breed lines.</w:t>
      </w:r>
    </w:p>
    <w:p w14:paraId="16A8475F" w14:textId="77777777" w:rsidR="00DD466F" w:rsidRDefault="0055441E">
      <w:pPr>
        <w:spacing w:before="60" w:after="60"/>
      </w:pPr>
      <w:r>
        <w:rPr>
          <w:color w:val="333333"/>
        </w:rPr>
        <w:t>While acknowledged as aspirational given current breed society structures and competitive dynamics, the concept received support from the floor, particularly given the evidence that performance and eating quality genes are not in conflict.</w:t>
      </w:r>
    </w:p>
    <w:p w14:paraId="50C6B811" w14:textId="77777777" w:rsidR="00DD466F" w:rsidRDefault="00DD466F">
      <w:pPr>
        <w:spacing w:before="80" w:after="80"/>
      </w:pPr>
    </w:p>
    <w:p w14:paraId="7290329F" w14:textId="77777777" w:rsidR="00DD466F" w:rsidRDefault="0055441E">
      <w:pPr>
        <w:pStyle w:val="Heading1"/>
        <w:pBdr>
          <w:bottom w:val="single" w:sz="6" w:space="4" w:color="1F5C99"/>
        </w:pBdr>
      </w:pPr>
      <w:r>
        <w:t>Key Takeaways</w:t>
      </w:r>
    </w:p>
    <w:p w14:paraId="20F304C9" w14:textId="77777777" w:rsidR="00DD466F" w:rsidRDefault="0055441E">
      <w:pPr>
        <w:pStyle w:val="ListParagraph"/>
        <w:numPr>
          <w:ilvl w:val="0"/>
          <w:numId w:val="2"/>
        </w:numPr>
        <w:spacing w:before="40" w:after="40"/>
      </w:pPr>
      <w:r>
        <w:rPr>
          <w:color w:val="333333"/>
        </w:rPr>
        <w:t>A 99.9% accurate, portable gene test for eating quality traits is near commercial readiness — the critical next step is a funded commercial feedlot and grass-fed validation trial</w:t>
      </w:r>
    </w:p>
    <w:p w14:paraId="260B52C9" w14:textId="77777777" w:rsidR="00DD466F" w:rsidRDefault="0055441E">
      <w:pPr>
        <w:pStyle w:val="ListParagraph"/>
        <w:numPr>
          <w:ilvl w:val="0"/>
          <w:numId w:val="2"/>
        </w:numPr>
        <w:spacing w:before="40" w:after="40"/>
      </w:pPr>
      <w:r>
        <w:rPr>
          <w:color w:val="333333"/>
        </w:rPr>
        <w:t>The test has practical feedlot applications today, enabling steer segregation by long-fed vs short-fed suitability</w:t>
      </w:r>
    </w:p>
    <w:p w14:paraId="1B73B29A" w14:textId="77777777" w:rsidR="00DD466F" w:rsidRDefault="0055441E">
      <w:pPr>
        <w:pStyle w:val="ListParagraph"/>
        <w:numPr>
          <w:ilvl w:val="0"/>
          <w:numId w:val="2"/>
        </w:numPr>
        <w:spacing w:before="40" w:after="40"/>
      </w:pPr>
      <w:r>
        <w:rPr>
          <w:color w:val="333333"/>
        </w:rPr>
        <w:t>Omega-3 content and fat melting point represent two underexploited differentiators for beef branding — no current supply chain is making verified claims in either area</w:t>
      </w:r>
    </w:p>
    <w:p w14:paraId="40977FA8" w14:textId="77777777" w:rsidR="00DD466F" w:rsidRDefault="0055441E">
      <w:pPr>
        <w:pStyle w:val="ListParagraph"/>
        <w:numPr>
          <w:ilvl w:val="0"/>
          <w:numId w:val="2"/>
        </w:numPr>
        <w:spacing w:before="40" w:after="40"/>
      </w:pPr>
      <w:r>
        <w:rPr>
          <w:color w:val="333333"/>
        </w:rPr>
        <w:t>MLA's outcome-based direction aligns well with this research and creates a pathway to embed gene status into grading and EBV systems</w:t>
      </w:r>
    </w:p>
    <w:p w14:paraId="0F093556" w14:textId="77777777" w:rsidR="00DD466F" w:rsidRDefault="0055441E">
      <w:pPr>
        <w:pStyle w:val="ListParagraph"/>
        <w:numPr>
          <w:ilvl w:val="0"/>
          <w:numId w:val="2"/>
        </w:numPr>
        <w:spacing w:before="40" w:after="40"/>
      </w:pPr>
      <w:r>
        <w:rPr>
          <w:color w:val="333333"/>
        </w:rPr>
        <w:t>GLP-1 drug uptake and a global shortage of premium graded beef provide strong market tailwinds for elite eating quality product</w:t>
      </w:r>
    </w:p>
    <w:p w14:paraId="6F4FEDE5" w14:textId="191C66C2" w:rsidR="00DD466F" w:rsidRDefault="00DD466F" w:rsidP="00F664F5">
      <w:pPr>
        <w:pStyle w:val="ListParagraph"/>
      </w:pPr>
    </w:p>
    <w:p w14:paraId="6866593C" w14:textId="77777777" w:rsidR="00DD466F" w:rsidRDefault="00DD466F">
      <w:pPr>
        <w:spacing w:before="80" w:after="80"/>
      </w:pPr>
    </w:p>
    <w:sectPr w:rsidR="00DD466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662FB"/>
    <w:multiLevelType w:val="hybridMultilevel"/>
    <w:tmpl w:val="8B04C46C"/>
    <w:lvl w:ilvl="0" w:tplc="F620B0FA">
      <w:start w:val="1"/>
      <w:numFmt w:val="bullet"/>
      <w:lvlText w:val="●"/>
      <w:lvlJc w:val="left"/>
      <w:pPr>
        <w:ind w:left="720" w:hanging="360"/>
      </w:pPr>
    </w:lvl>
    <w:lvl w:ilvl="1" w:tplc="E118E06E">
      <w:start w:val="1"/>
      <w:numFmt w:val="bullet"/>
      <w:lvlText w:val="○"/>
      <w:lvlJc w:val="left"/>
      <w:pPr>
        <w:ind w:left="1440" w:hanging="360"/>
      </w:pPr>
    </w:lvl>
    <w:lvl w:ilvl="2" w:tplc="6C267EA0">
      <w:start w:val="1"/>
      <w:numFmt w:val="bullet"/>
      <w:lvlText w:val="■"/>
      <w:lvlJc w:val="left"/>
      <w:pPr>
        <w:ind w:left="2160" w:hanging="360"/>
      </w:pPr>
    </w:lvl>
    <w:lvl w:ilvl="3" w:tplc="4C2CB0CC">
      <w:start w:val="1"/>
      <w:numFmt w:val="bullet"/>
      <w:lvlText w:val="●"/>
      <w:lvlJc w:val="left"/>
      <w:pPr>
        <w:ind w:left="2880" w:hanging="360"/>
      </w:pPr>
    </w:lvl>
    <w:lvl w:ilvl="4" w:tplc="29306672">
      <w:start w:val="1"/>
      <w:numFmt w:val="bullet"/>
      <w:lvlText w:val="○"/>
      <w:lvlJc w:val="left"/>
      <w:pPr>
        <w:ind w:left="3600" w:hanging="360"/>
      </w:pPr>
    </w:lvl>
    <w:lvl w:ilvl="5" w:tplc="BC3A7F42">
      <w:start w:val="1"/>
      <w:numFmt w:val="bullet"/>
      <w:lvlText w:val="■"/>
      <w:lvlJc w:val="left"/>
      <w:pPr>
        <w:ind w:left="4320" w:hanging="360"/>
      </w:pPr>
    </w:lvl>
    <w:lvl w:ilvl="6" w:tplc="6938049A">
      <w:start w:val="1"/>
      <w:numFmt w:val="bullet"/>
      <w:lvlText w:val="●"/>
      <w:lvlJc w:val="left"/>
      <w:pPr>
        <w:ind w:left="5040" w:hanging="360"/>
      </w:pPr>
    </w:lvl>
    <w:lvl w:ilvl="7" w:tplc="E8E426A0">
      <w:start w:val="1"/>
      <w:numFmt w:val="bullet"/>
      <w:lvlText w:val="●"/>
      <w:lvlJc w:val="left"/>
      <w:pPr>
        <w:ind w:left="5760" w:hanging="360"/>
      </w:pPr>
    </w:lvl>
    <w:lvl w:ilvl="8" w:tplc="2892C28A">
      <w:start w:val="1"/>
      <w:numFmt w:val="bullet"/>
      <w:lvlText w:val="●"/>
      <w:lvlJc w:val="left"/>
      <w:pPr>
        <w:ind w:left="6480" w:hanging="360"/>
      </w:pPr>
    </w:lvl>
  </w:abstractNum>
  <w:abstractNum w:abstractNumId="1" w15:restartNumberingAfterBreak="0">
    <w:nsid w:val="74522BEB"/>
    <w:multiLevelType w:val="hybridMultilevel"/>
    <w:tmpl w:val="31504F96"/>
    <w:lvl w:ilvl="0" w:tplc="84866756">
      <w:start w:val="1"/>
      <w:numFmt w:val="bullet"/>
      <w:lvlText w:val="•"/>
      <w:lvlJc w:val="left"/>
      <w:pPr>
        <w:ind w:left="540" w:hanging="260"/>
      </w:pPr>
    </w:lvl>
    <w:lvl w:ilvl="1" w:tplc="C7DE2B90">
      <w:numFmt w:val="decimal"/>
      <w:lvlText w:val=""/>
      <w:lvlJc w:val="left"/>
    </w:lvl>
    <w:lvl w:ilvl="2" w:tplc="933857DC">
      <w:numFmt w:val="decimal"/>
      <w:lvlText w:val=""/>
      <w:lvlJc w:val="left"/>
    </w:lvl>
    <w:lvl w:ilvl="3" w:tplc="F86CFEC6">
      <w:numFmt w:val="decimal"/>
      <w:lvlText w:val=""/>
      <w:lvlJc w:val="left"/>
    </w:lvl>
    <w:lvl w:ilvl="4" w:tplc="A1D01504">
      <w:numFmt w:val="decimal"/>
      <w:lvlText w:val=""/>
      <w:lvlJc w:val="left"/>
    </w:lvl>
    <w:lvl w:ilvl="5" w:tplc="9CB2F7E4">
      <w:numFmt w:val="decimal"/>
      <w:lvlText w:val=""/>
      <w:lvlJc w:val="left"/>
    </w:lvl>
    <w:lvl w:ilvl="6" w:tplc="8EF4BF1C">
      <w:numFmt w:val="decimal"/>
      <w:lvlText w:val=""/>
      <w:lvlJc w:val="left"/>
    </w:lvl>
    <w:lvl w:ilvl="7" w:tplc="3A321B76">
      <w:numFmt w:val="decimal"/>
      <w:lvlText w:val=""/>
      <w:lvlJc w:val="left"/>
    </w:lvl>
    <w:lvl w:ilvl="8" w:tplc="E50C95A4">
      <w:numFmt w:val="decimal"/>
      <w:lvlText w:val=""/>
      <w:lvlJc w:val="left"/>
    </w:lvl>
  </w:abstractNum>
  <w:num w:numId="1" w16cid:durableId="837040413">
    <w:abstractNumId w:val="0"/>
    <w:lvlOverride w:ilvl="0">
      <w:startOverride w:val="1"/>
    </w:lvlOverride>
  </w:num>
  <w:num w:numId="2" w16cid:durableId="19299697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6F"/>
    <w:rsid w:val="00065F51"/>
    <w:rsid w:val="00087CCB"/>
    <w:rsid w:val="000D3D5C"/>
    <w:rsid w:val="000D4707"/>
    <w:rsid w:val="001E3AC2"/>
    <w:rsid w:val="00273E73"/>
    <w:rsid w:val="002C78B7"/>
    <w:rsid w:val="0030666B"/>
    <w:rsid w:val="003127FA"/>
    <w:rsid w:val="00353DAC"/>
    <w:rsid w:val="0038387C"/>
    <w:rsid w:val="003F754B"/>
    <w:rsid w:val="00441E03"/>
    <w:rsid w:val="00443275"/>
    <w:rsid w:val="00484741"/>
    <w:rsid w:val="004A53D4"/>
    <w:rsid w:val="005277A5"/>
    <w:rsid w:val="0055441E"/>
    <w:rsid w:val="00601A06"/>
    <w:rsid w:val="0060373E"/>
    <w:rsid w:val="00611248"/>
    <w:rsid w:val="00632927"/>
    <w:rsid w:val="00640B85"/>
    <w:rsid w:val="006616F9"/>
    <w:rsid w:val="00667299"/>
    <w:rsid w:val="006C3D1D"/>
    <w:rsid w:val="006D5C05"/>
    <w:rsid w:val="00745484"/>
    <w:rsid w:val="007C1104"/>
    <w:rsid w:val="007F6E5F"/>
    <w:rsid w:val="00803A7E"/>
    <w:rsid w:val="00814179"/>
    <w:rsid w:val="00883FAE"/>
    <w:rsid w:val="00930A1E"/>
    <w:rsid w:val="009B6D1B"/>
    <w:rsid w:val="009C7976"/>
    <w:rsid w:val="00A96478"/>
    <w:rsid w:val="00AE665C"/>
    <w:rsid w:val="00BD09E4"/>
    <w:rsid w:val="00CC05C3"/>
    <w:rsid w:val="00CF74A3"/>
    <w:rsid w:val="00DD466F"/>
    <w:rsid w:val="00DF6329"/>
    <w:rsid w:val="00E36062"/>
    <w:rsid w:val="00E424F0"/>
    <w:rsid w:val="00E97B34"/>
    <w:rsid w:val="00F37A72"/>
    <w:rsid w:val="00F66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C710"/>
  <w15:docId w15:val="{C70E88EB-6868-46DA-AB8B-EFDC7BFC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5C99"/>
      <w:sz w:val="32"/>
      <w:szCs w:val="32"/>
    </w:rPr>
  </w:style>
  <w:style w:type="paragraph" w:styleId="Heading2">
    <w:name w:val="heading 2"/>
    <w:uiPriority w:val="9"/>
    <w:unhideWhenUsed/>
    <w:qFormat/>
    <w:pPr>
      <w:spacing w:before="240" w:after="80"/>
      <w:outlineLvl w:val="1"/>
    </w:pPr>
    <w:rPr>
      <w:b/>
      <w:bCs/>
      <w:color w:val="2C3E5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Jodi Peake</cp:lastModifiedBy>
  <cp:revision>44</cp:revision>
  <cp:lastPrinted>2026-05-17T06:16:00Z</cp:lastPrinted>
  <dcterms:created xsi:type="dcterms:W3CDTF">2026-05-17T02:01:00Z</dcterms:created>
  <dcterms:modified xsi:type="dcterms:W3CDTF">2026-05-20T06:49:00Z</dcterms:modified>
</cp:coreProperties>
</file>