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E221" w14:textId="77777777" w:rsidR="003732BD" w:rsidRDefault="000D7071">
      <w:pPr>
        <w:pStyle w:val="Heading1"/>
      </w:pPr>
      <w:r>
        <w:t>The Future of Premium Beef</w:t>
      </w:r>
    </w:p>
    <w:p w14:paraId="322906F2" w14:textId="77777777" w:rsidR="003732BD" w:rsidRDefault="000D7071">
      <w:pPr>
        <w:spacing w:before="60" w:after="80"/>
      </w:pPr>
      <w:r>
        <w:rPr>
          <w:b/>
          <w:bCs/>
          <w:color w:val="2E5496"/>
          <w:sz w:val="26"/>
          <w:szCs w:val="26"/>
        </w:rPr>
        <w:t>Genetics, Genomics &amp; the Science of Eating Quality</w:t>
      </w:r>
    </w:p>
    <w:p w14:paraId="6AFC4E86" w14:textId="77777777" w:rsidR="003732BD" w:rsidRDefault="000D7071">
      <w:pPr>
        <w:spacing w:before="60" w:after="80"/>
      </w:pPr>
      <w:r>
        <w:rPr>
          <w:i/>
          <w:iCs/>
          <w:color w:val="888888"/>
        </w:rPr>
        <w:t>Presentation Summary  |  May 2026</w:t>
      </w:r>
    </w:p>
    <w:p w14:paraId="6C5D57FF" w14:textId="77777777" w:rsidR="003732BD" w:rsidRDefault="003732BD">
      <w:pPr>
        <w:pBdr>
          <w:bottom w:val="single" w:sz="4" w:space="1" w:color="DDDDDD"/>
        </w:pBdr>
        <w:spacing w:before="120" w:after="120"/>
      </w:pPr>
    </w:p>
    <w:p w14:paraId="5405D270" w14:textId="77777777" w:rsidR="003732BD" w:rsidRDefault="000D7071">
      <w:pPr>
        <w:pStyle w:val="Heading2"/>
      </w:pPr>
      <w:r>
        <w:t>Overview</w:t>
      </w:r>
    </w:p>
    <w:p w14:paraId="7E66F5D0" w14:textId="77777777" w:rsidR="003732BD" w:rsidRDefault="000D7071">
      <w:pPr>
        <w:spacing w:before="60" w:after="80"/>
      </w:pPr>
      <w:r>
        <w:t>This presentation made the case that the next major advances in premium beef production will come not from visual assessment, pedigree records or post-slaughter carcass data — but from decoding the DNA responsible for eating quality traits. By identifying the genetic drivers of marbling, fat texture and nutritional value early in an animal's life, breeders can make far more precise and proactive selection decisions.</w:t>
      </w:r>
    </w:p>
    <w:p w14:paraId="4EF138AE" w14:textId="77777777" w:rsidR="003732BD" w:rsidRDefault="003732BD">
      <w:pPr>
        <w:pBdr>
          <w:bottom w:val="single" w:sz="4" w:space="1" w:color="DDDDDD"/>
        </w:pBdr>
        <w:spacing w:before="120" w:after="120"/>
      </w:pPr>
    </w:p>
    <w:p w14:paraId="17183877" w14:textId="77777777" w:rsidR="003732BD" w:rsidRDefault="000D7071">
      <w:pPr>
        <w:pStyle w:val="Heading2"/>
      </w:pPr>
      <w:r>
        <w:t>The Modern Beef Mandate</w:t>
      </w:r>
    </w:p>
    <w:p w14:paraId="173AEB20" w14:textId="77777777" w:rsidR="003732BD" w:rsidRDefault="000D7071">
      <w:pPr>
        <w:spacing w:before="60" w:after="80"/>
      </w:pPr>
      <w:r>
        <w:t>Three pillars define what premium beef must deliver to today's consumers:</w:t>
      </w:r>
    </w:p>
    <w:p w14:paraId="4A5ADF73" w14:textId="77777777" w:rsidR="003732BD" w:rsidRDefault="003732BD">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8"/>
        <w:gridCol w:w="3009"/>
        <w:gridCol w:w="3009"/>
      </w:tblGrid>
      <w:tr w:rsidR="003732BD" w14:paraId="1B6F3C92" w14:textId="77777777">
        <w:tc>
          <w:tcPr>
            <w:tcW w:w="3008" w:type="dxa"/>
            <w:tcBorders>
              <w:top w:val="single" w:sz="1" w:space="0" w:color="CCCCCC"/>
              <w:left w:val="single" w:sz="1" w:space="0" w:color="CCCCCC"/>
              <w:bottom w:val="single" w:sz="1" w:space="0" w:color="CCCCCC"/>
              <w:right w:val="single" w:sz="1" w:space="0" w:color="CCCCCC"/>
            </w:tcBorders>
            <w:shd w:val="clear" w:color="auto" w:fill="C5342A"/>
            <w:tcMar>
              <w:top w:w="120" w:type="dxa"/>
              <w:left w:w="160" w:type="dxa"/>
              <w:bottom w:w="120" w:type="dxa"/>
              <w:right w:w="160" w:type="dxa"/>
            </w:tcMar>
          </w:tcPr>
          <w:p w14:paraId="1B3B1ACB" w14:textId="77777777" w:rsidR="003732BD" w:rsidRDefault="000D7071">
            <w:pPr>
              <w:jc w:val="center"/>
            </w:pPr>
            <w:r>
              <w:rPr>
                <w:b/>
                <w:bCs/>
                <w:color w:val="FFFFFF"/>
                <w:sz w:val="26"/>
                <w:szCs w:val="26"/>
              </w:rPr>
              <w:t>Taste</w:t>
            </w:r>
          </w:p>
        </w:tc>
        <w:tc>
          <w:tcPr>
            <w:tcW w:w="3008" w:type="dxa"/>
            <w:tcBorders>
              <w:top w:val="single" w:sz="1" w:space="0" w:color="CCCCCC"/>
              <w:left w:val="single" w:sz="1" w:space="0" w:color="CCCCCC"/>
              <w:bottom w:val="single" w:sz="1" w:space="0" w:color="CCCCCC"/>
              <w:right w:val="single" w:sz="1" w:space="0" w:color="CCCCCC"/>
            </w:tcBorders>
            <w:shd w:val="clear" w:color="auto" w:fill="2E5496"/>
            <w:tcMar>
              <w:top w:w="120" w:type="dxa"/>
              <w:left w:w="160" w:type="dxa"/>
              <w:bottom w:w="120" w:type="dxa"/>
              <w:right w:w="160" w:type="dxa"/>
            </w:tcMar>
          </w:tcPr>
          <w:p w14:paraId="457F9352" w14:textId="77777777" w:rsidR="003732BD" w:rsidRDefault="000D7071">
            <w:pPr>
              <w:jc w:val="center"/>
            </w:pPr>
            <w:r>
              <w:rPr>
                <w:b/>
                <w:bCs/>
                <w:color w:val="FFFFFF"/>
                <w:sz w:val="26"/>
                <w:szCs w:val="26"/>
              </w:rPr>
              <w:t>Texture</w:t>
            </w:r>
          </w:p>
        </w:tc>
        <w:tc>
          <w:tcPr>
            <w:tcW w:w="3008" w:type="dxa"/>
            <w:tcBorders>
              <w:top w:val="single" w:sz="1" w:space="0" w:color="CCCCCC"/>
              <w:left w:val="single" w:sz="1" w:space="0" w:color="CCCCCC"/>
              <w:bottom w:val="single" w:sz="1" w:space="0" w:color="CCCCCC"/>
              <w:right w:val="single" w:sz="1" w:space="0" w:color="CCCCCC"/>
            </w:tcBorders>
            <w:shd w:val="clear" w:color="auto" w:fill="375623"/>
            <w:tcMar>
              <w:top w:w="120" w:type="dxa"/>
              <w:left w:w="160" w:type="dxa"/>
              <w:bottom w:w="120" w:type="dxa"/>
              <w:right w:w="160" w:type="dxa"/>
            </w:tcMar>
          </w:tcPr>
          <w:p w14:paraId="4A4385C2" w14:textId="77777777" w:rsidR="003732BD" w:rsidRDefault="000D7071">
            <w:pPr>
              <w:jc w:val="center"/>
            </w:pPr>
            <w:r>
              <w:rPr>
                <w:b/>
                <w:bCs/>
                <w:color w:val="FFFFFF"/>
                <w:sz w:val="26"/>
                <w:szCs w:val="26"/>
              </w:rPr>
              <w:t>Health Value</w:t>
            </w:r>
          </w:p>
        </w:tc>
      </w:tr>
      <w:tr w:rsidR="003732BD" w14:paraId="4A94F446" w14:textId="77777777">
        <w:tc>
          <w:tcPr>
            <w:tcW w:w="3008" w:type="dxa"/>
            <w:tcBorders>
              <w:top w:val="single" w:sz="1" w:space="0" w:color="CCCCCC"/>
              <w:left w:val="single" w:sz="1" w:space="0" w:color="CCCCCC"/>
              <w:bottom w:val="single" w:sz="1" w:space="0" w:color="CCCCCC"/>
              <w:right w:val="single" w:sz="1" w:space="0" w:color="CCCCCC"/>
            </w:tcBorders>
            <w:shd w:val="clear" w:color="auto" w:fill="F5F7FC"/>
            <w:tcMar>
              <w:top w:w="120" w:type="dxa"/>
              <w:left w:w="160" w:type="dxa"/>
              <w:bottom w:w="120" w:type="dxa"/>
              <w:right w:w="160" w:type="dxa"/>
            </w:tcMar>
          </w:tcPr>
          <w:p w14:paraId="15735F65" w14:textId="77777777" w:rsidR="003732BD" w:rsidRDefault="000D7071">
            <w:pPr>
              <w:jc w:val="center"/>
            </w:pPr>
            <w:r>
              <w:rPr>
                <w:b/>
                <w:bCs/>
                <w:color w:val="1F3864"/>
                <w:sz w:val="20"/>
                <w:szCs w:val="20"/>
              </w:rPr>
              <w:t>Intramuscular Fat (Marbling)</w:t>
            </w:r>
          </w:p>
          <w:p w14:paraId="061F5B92" w14:textId="77777777" w:rsidR="003732BD" w:rsidRDefault="003732BD">
            <w:pPr>
              <w:spacing w:before="60" w:after="60"/>
            </w:pPr>
          </w:p>
          <w:p w14:paraId="7C089427" w14:textId="77777777" w:rsidR="003732BD" w:rsidRDefault="000D7071">
            <w:r>
              <w:rPr>
                <w:color w:val="333333"/>
                <w:sz w:val="19"/>
                <w:szCs w:val="19"/>
              </w:rPr>
              <w:t>IMF above ~3.4–3.5% creates the threshold for a highly palatable steak. Fat deposited within the muscle — not external or between-muscle fat.</w:t>
            </w:r>
          </w:p>
        </w:tc>
        <w:tc>
          <w:tcPr>
            <w:tcW w:w="3008" w:type="dxa"/>
            <w:tcBorders>
              <w:top w:val="single" w:sz="1" w:space="0" w:color="CCCCCC"/>
              <w:left w:val="single" w:sz="1" w:space="0" w:color="CCCCCC"/>
              <w:bottom w:val="single" w:sz="1" w:space="0" w:color="CCCCCC"/>
              <w:right w:val="single" w:sz="1" w:space="0" w:color="CCCCCC"/>
            </w:tcBorders>
            <w:shd w:val="clear" w:color="auto" w:fill="F5F7FC"/>
            <w:tcMar>
              <w:top w:w="120" w:type="dxa"/>
              <w:left w:w="160" w:type="dxa"/>
              <w:bottom w:w="120" w:type="dxa"/>
              <w:right w:w="160" w:type="dxa"/>
            </w:tcMar>
          </w:tcPr>
          <w:p w14:paraId="70288B22" w14:textId="77777777" w:rsidR="003732BD" w:rsidRDefault="000D7071">
            <w:pPr>
              <w:jc w:val="center"/>
            </w:pPr>
            <w:r>
              <w:rPr>
                <w:b/>
                <w:bCs/>
                <w:color w:val="1F3864"/>
                <w:sz w:val="20"/>
                <w:szCs w:val="20"/>
              </w:rPr>
              <w:t>Fat Melting Point (FMP)</w:t>
            </w:r>
          </w:p>
          <w:p w14:paraId="5E6E9800" w14:textId="77777777" w:rsidR="003732BD" w:rsidRDefault="003732BD">
            <w:pPr>
              <w:spacing w:before="60" w:after="60"/>
            </w:pPr>
          </w:p>
          <w:p w14:paraId="53CA338E" w14:textId="18DD0262" w:rsidR="003732BD" w:rsidRDefault="000D7071">
            <w:r>
              <w:rPr>
                <w:color w:val="333333"/>
                <w:sz w:val="19"/>
                <w:szCs w:val="19"/>
              </w:rPr>
              <w:t xml:space="preserve">Lower FMP creates the buttery, melt-in-mouth sensation of premium Wagyu. Wagyu typically records 30–35°C. High FMP produces </w:t>
            </w:r>
            <w:r w:rsidR="00CA2DCD">
              <w:rPr>
                <w:color w:val="333333"/>
                <w:sz w:val="19"/>
                <w:szCs w:val="19"/>
              </w:rPr>
              <w:t>softer</w:t>
            </w:r>
            <w:r>
              <w:rPr>
                <w:color w:val="333333"/>
                <w:sz w:val="19"/>
                <w:szCs w:val="19"/>
              </w:rPr>
              <w:t>, waxier fat.</w:t>
            </w:r>
          </w:p>
        </w:tc>
        <w:tc>
          <w:tcPr>
            <w:tcW w:w="3008" w:type="dxa"/>
            <w:tcBorders>
              <w:top w:val="single" w:sz="1" w:space="0" w:color="CCCCCC"/>
              <w:left w:val="single" w:sz="1" w:space="0" w:color="CCCCCC"/>
              <w:bottom w:val="single" w:sz="1" w:space="0" w:color="CCCCCC"/>
              <w:right w:val="single" w:sz="1" w:space="0" w:color="CCCCCC"/>
            </w:tcBorders>
            <w:shd w:val="clear" w:color="auto" w:fill="F5F7FC"/>
            <w:tcMar>
              <w:top w:w="120" w:type="dxa"/>
              <w:left w:w="160" w:type="dxa"/>
              <w:bottom w:w="120" w:type="dxa"/>
              <w:right w:w="160" w:type="dxa"/>
            </w:tcMar>
          </w:tcPr>
          <w:p w14:paraId="0F28BC95" w14:textId="77777777" w:rsidR="003732BD" w:rsidRDefault="000D7071">
            <w:pPr>
              <w:jc w:val="center"/>
            </w:pPr>
            <w:r>
              <w:rPr>
                <w:b/>
                <w:bCs/>
                <w:color w:val="1F3864"/>
                <w:sz w:val="20"/>
                <w:szCs w:val="20"/>
              </w:rPr>
              <w:t>Omega-3 Fatty Acids</w:t>
            </w:r>
          </w:p>
          <w:p w14:paraId="28D76C7C" w14:textId="77777777" w:rsidR="003732BD" w:rsidRDefault="003732BD">
            <w:pPr>
              <w:spacing w:before="60" w:after="60"/>
            </w:pPr>
          </w:p>
          <w:p w14:paraId="6B69880B" w14:textId="77777777" w:rsidR="003732BD" w:rsidRDefault="000D7071">
            <w:r>
              <w:rPr>
                <w:color w:val="333333"/>
                <w:sz w:val="19"/>
                <w:szCs w:val="19"/>
              </w:rPr>
              <w:t>Long-chain omega-3s (EPA, DHA, DPA) support heart health, brain function, hormonal health and reduced cardiovascular disease risk.</w:t>
            </w:r>
          </w:p>
        </w:tc>
      </w:tr>
    </w:tbl>
    <w:p w14:paraId="4F6BF905" w14:textId="77777777" w:rsidR="003732BD" w:rsidRDefault="003732BD">
      <w:pPr>
        <w:spacing w:before="80" w:after="80"/>
      </w:pPr>
    </w:p>
    <w:p w14:paraId="7C3D1B9D" w14:textId="77777777" w:rsidR="003732BD" w:rsidRDefault="003732BD">
      <w:pPr>
        <w:pBdr>
          <w:bottom w:val="single" w:sz="4" w:space="1" w:color="DDDDDD"/>
        </w:pBdr>
        <w:spacing w:before="120" w:after="120"/>
      </w:pPr>
    </w:p>
    <w:p w14:paraId="4F595E54" w14:textId="77777777" w:rsidR="003732BD" w:rsidRDefault="000D7071">
      <w:pPr>
        <w:pStyle w:val="Heading2"/>
      </w:pPr>
      <w:r>
        <w:t>Understanding Fat: Good vs. Bad</w:t>
      </w:r>
    </w:p>
    <w:p w14:paraId="3284A5F1" w14:textId="77777777" w:rsidR="003732BD" w:rsidRDefault="000D7071">
      <w:pPr>
        <w:spacing w:before="60" w:after="80"/>
      </w:pPr>
      <w:r>
        <w:t>A significant portion of the presentation focused on fat chemistry and why it matters for both eating quality and health outcomes.</w:t>
      </w:r>
    </w:p>
    <w:p w14:paraId="25DED7D5" w14:textId="77777777" w:rsidR="003732BD" w:rsidRDefault="003732BD">
      <w:pPr>
        <w:spacing w:before="60" w:after="40"/>
      </w:pPr>
    </w:p>
    <w:p w14:paraId="710AD294" w14:textId="77777777" w:rsidR="003732BD" w:rsidRDefault="000D7071">
      <w:pPr>
        <w:spacing w:before="200" w:after="80"/>
      </w:pPr>
      <w:r>
        <w:rPr>
          <w:b/>
          <w:bCs/>
          <w:color w:val="1F3864"/>
        </w:rPr>
        <w:t>Saturated Fats</w:t>
      </w:r>
    </w:p>
    <w:p w14:paraId="473D6D8E" w14:textId="77777777" w:rsidR="003732BD" w:rsidRDefault="000D7071">
      <w:pPr>
        <w:pStyle w:val="ListParagraph"/>
        <w:numPr>
          <w:ilvl w:val="0"/>
          <w:numId w:val="2"/>
        </w:numPr>
        <w:spacing w:before="40" w:after="40"/>
      </w:pPr>
      <w:r>
        <w:t>Chemically stable, resistant to breakdown</w:t>
      </w:r>
    </w:p>
    <w:p w14:paraId="1AA0A8BF" w14:textId="77777777" w:rsidR="003732BD" w:rsidRDefault="000D7071">
      <w:pPr>
        <w:pStyle w:val="ListParagraph"/>
        <w:numPr>
          <w:ilvl w:val="0"/>
          <w:numId w:val="2"/>
        </w:numPr>
        <w:spacing w:before="40" w:after="40"/>
      </w:pPr>
      <w:r>
        <w:t>Produce harder, waxier fat — less palatable</w:t>
      </w:r>
    </w:p>
    <w:p w14:paraId="207657CB" w14:textId="77777777" w:rsidR="003732BD" w:rsidRDefault="000D7071">
      <w:pPr>
        <w:pStyle w:val="ListParagraph"/>
        <w:numPr>
          <w:ilvl w:val="0"/>
          <w:numId w:val="2"/>
        </w:numPr>
        <w:spacing w:before="40" w:after="40"/>
      </w:pPr>
      <w:r>
        <w:t>Associated with cholesterol build-up and arterial plaque risk</w:t>
      </w:r>
    </w:p>
    <w:p w14:paraId="7712C742" w14:textId="77777777" w:rsidR="003732BD" w:rsidRDefault="003732BD">
      <w:pPr>
        <w:spacing w:before="60" w:after="40"/>
      </w:pPr>
    </w:p>
    <w:p w14:paraId="267317E1" w14:textId="77777777" w:rsidR="003732BD" w:rsidRDefault="000D7071">
      <w:pPr>
        <w:spacing w:before="200" w:after="80"/>
      </w:pPr>
      <w:r>
        <w:rPr>
          <w:b/>
          <w:bCs/>
          <w:color w:val="1F3864"/>
        </w:rPr>
        <w:t>Unsaturated Fats (the desirable target)</w:t>
      </w:r>
    </w:p>
    <w:p w14:paraId="2867D19B" w14:textId="22E540F6" w:rsidR="003732BD" w:rsidRDefault="000D7071" w:rsidP="006F6F43">
      <w:pPr>
        <w:pStyle w:val="ListParagraph"/>
        <w:numPr>
          <w:ilvl w:val="0"/>
          <w:numId w:val="2"/>
        </w:numPr>
        <w:spacing w:before="40" w:after="40"/>
      </w:pPr>
      <w:r>
        <w:t>Contain double bonds —</w:t>
      </w:r>
      <w:r w:rsidR="00F9649D">
        <w:t>[bonds break easily]</w:t>
      </w:r>
      <w:r w:rsidR="00CB6103">
        <w:t>,</w:t>
      </w:r>
      <w:r>
        <w:t xml:space="preserve"> </w:t>
      </w:r>
      <w:r w:rsidR="00CB6103">
        <w:t>softer, buttery</w:t>
      </w:r>
      <w:r w:rsidR="008F4AE1">
        <w:t xml:space="preserve"> melt in mouth sensation,</w:t>
      </w:r>
      <w:r>
        <w:t xml:space="preserve"> more digestible</w:t>
      </w:r>
    </w:p>
    <w:p w14:paraId="31E0E9FF" w14:textId="24AE8DE6" w:rsidR="003732BD" w:rsidRDefault="000D7071">
      <w:pPr>
        <w:pStyle w:val="ListParagraph"/>
        <w:numPr>
          <w:ilvl w:val="0"/>
          <w:numId w:val="2"/>
        </w:numPr>
        <w:spacing w:before="40" w:after="40"/>
      </w:pPr>
      <w:r>
        <w:t>Mono-unsaturated fats (especially oleic acid, C18:1 Omega-</w:t>
      </w:r>
      <w:r w:rsidR="0026049C">
        <w:t>3</w:t>
      </w:r>
      <w:r>
        <w:t xml:space="preserve">) are a key driver of flavour and eating consistency in </w:t>
      </w:r>
      <w:r w:rsidR="004814B3">
        <w:t>beef.</w:t>
      </w:r>
    </w:p>
    <w:p w14:paraId="1C7DA871" w14:textId="57866753" w:rsidR="003732BD" w:rsidRDefault="000D7071">
      <w:pPr>
        <w:pStyle w:val="ListParagraph"/>
        <w:numPr>
          <w:ilvl w:val="0"/>
          <w:numId w:val="2"/>
        </w:numPr>
        <w:spacing w:before="40" w:after="40"/>
      </w:pPr>
      <w:r>
        <w:t>Omega-3 fatty acids (EPA, DHA, DPA) deliver measurable nutritional benefit</w:t>
      </w:r>
      <w:r w:rsidR="004814B3">
        <w:t>.</w:t>
      </w:r>
    </w:p>
    <w:p w14:paraId="1BB3B17F" w14:textId="77777777" w:rsidR="003732BD" w:rsidRDefault="003732BD">
      <w:pPr>
        <w:spacing w:before="60" w:after="40"/>
      </w:pPr>
    </w:p>
    <w:p w14:paraId="57AD22B0" w14:textId="1D6A4742" w:rsidR="003732BD" w:rsidRDefault="000D7071">
      <w:pPr>
        <w:spacing w:before="60" w:after="80"/>
      </w:pPr>
      <w:r>
        <w:lastRenderedPageBreak/>
        <w:t>The speaker highlighted oleic acid as particularly important — it is a primary contributor to the distinctive flavour profile and consistency of premium beef.</w:t>
      </w:r>
    </w:p>
    <w:p w14:paraId="281893B4" w14:textId="77777777" w:rsidR="003732BD" w:rsidRDefault="003732BD">
      <w:pPr>
        <w:pBdr>
          <w:bottom w:val="single" w:sz="4" w:space="1" w:color="DDDDDD"/>
        </w:pBdr>
        <w:spacing w:before="120" w:after="120"/>
      </w:pPr>
    </w:p>
    <w:p w14:paraId="51E72B18" w14:textId="77777777" w:rsidR="003732BD" w:rsidRDefault="000D7071">
      <w:pPr>
        <w:pStyle w:val="Heading2"/>
      </w:pPr>
      <w:r>
        <w:t>Omega-3 Production: Opportunity and Bottlenecks</w:t>
      </w:r>
    </w:p>
    <w:p w14:paraId="2C6D153B" w14:textId="77777777" w:rsidR="003732BD" w:rsidRDefault="000D7071">
      <w:pPr>
        <w:spacing w:before="60" w:after="80"/>
      </w:pPr>
      <w:r>
        <w:t>Australian pasture systems naturally contain high levels of ALA (alpha-linolenic acid) — the precursor to long-chain omega-3 fatty acids. However, two biological bottlenecks limit conversion:</w:t>
      </w:r>
    </w:p>
    <w:p w14:paraId="6FD44648" w14:textId="77777777" w:rsidR="003732BD" w:rsidRDefault="003732BD">
      <w:pPr>
        <w:spacing w:before="60" w:after="40"/>
      </w:pPr>
    </w:p>
    <w:p w14:paraId="3D992DCB" w14:textId="77777777" w:rsidR="003732BD" w:rsidRDefault="000D7071">
      <w:pPr>
        <w:pStyle w:val="ListParagraph"/>
        <w:numPr>
          <w:ilvl w:val="0"/>
          <w:numId w:val="2"/>
        </w:numPr>
        <w:spacing w:before="40" w:after="40"/>
      </w:pPr>
      <w:r>
        <w:t>Rumen biohydrogenation — rumen microbes convert much of the dietary unsaturated fat into more saturated forms before the animal absorbs it.</w:t>
      </w:r>
    </w:p>
    <w:p w14:paraId="387EA57B" w14:textId="77777777" w:rsidR="003732BD" w:rsidRDefault="000D7071">
      <w:pPr>
        <w:pStyle w:val="ListParagraph"/>
        <w:numPr>
          <w:ilvl w:val="0"/>
          <w:numId w:val="2"/>
        </w:numPr>
        <w:spacing w:before="40" w:after="40"/>
      </w:pPr>
      <w:r>
        <w:t>Delayed measurement — traditional carcass testing occurs post-slaughter, making breeding decisions retrospective rather than proactive.</w:t>
      </w:r>
    </w:p>
    <w:p w14:paraId="6D9F2643" w14:textId="77777777" w:rsidR="003732BD" w:rsidRDefault="003732BD">
      <w:pPr>
        <w:spacing w:before="60" w:after="40"/>
      </w:pPr>
    </w:p>
    <w:p w14:paraId="0D8BDC97" w14:textId="77777777" w:rsidR="003732BD" w:rsidRDefault="000D7071">
      <w:pPr>
        <w:spacing w:before="60" w:after="80"/>
      </w:pPr>
      <w:r>
        <w:t>Genomic testing directly addresses the second bottleneck, enabling identification of superior animals well before any carcass data is available.</w:t>
      </w:r>
    </w:p>
    <w:p w14:paraId="499A5742" w14:textId="77777777" w:rsidR="003732BD" w:rsidRDefault="003732BD">
      <w:pPr>
        <w:pBdr>
          <w:bottom w:val="single" w:sz="4" w:space="1" w:color="DDDDDD"/>
        </w:pBdr>
        <w:spacing w:before="120" w:after="120"/>
      </w:pPr>
    </w:p>
    <w:p w14:paraId="411266FA" w14:textId="77777777" w:rsidR="003732BD" w:rsidRDefault="000D7071">
      <w:pPr>
        <w:pStyle w:val="Heading2"/>
      </w:pPr>
      <w:r>
        <w:t>The Genomic Selection Approach</w:t>
      </w:r>
    </w:p>
    <w:p w14:paraId="7A056327" w14:textId="77777777" w:rsidR="003732BD" w:rsidRDefault="000D7071">
      <w:pPr>
        <w:spacing w:before="60" w:after="80"/>
      </w:pPr>
      <w:r>
        <w:t>The presenter outlined a methodology using live animals to generate genetic data early in life:</w:t>
      </w:r>
    </w:p>
    <w:p w14:paraId="3BB9C34F" w14:textId="77777777" w:rsidR="003732BD" w:rsidRDefault="003732BD">
      <w:pPr>
        <w:spacing w:before="60" w:after="40"/>
      </w:pPr>
    </w:p>
    <w:p w14:paraId="60867627" w14:textId="361EBDE2" w:rsidR="003732BD" w:rsidRDefault="000D7071">
      <w:pPr>
        <w:pStyle w:val="ListParagraph"/>
        <w:numPr>
          <w:ilvl w:val="0"/>
          <w:numId w:val="2"/>
        </w:numPr>
        <w:spacing w:before="40" w:after="40"/>
      </w:pPr>
      <w:r>
        <w:t>Live muscle biopsies</w:t>
      </w:r>
      <w:r w:rsidR="00800E5A">
        <w:t xml:space="preserve"> and </w:t>
      </w:r>
      <w:r w:rsidR="000554BF">
        <w:t xml:space="preserve">now </w:t>
      </w:r>
      <w:r w:rsidR="00030E2F">
        <w:t>blood sampling</w:t>
      </w:r>
      <w:r w:rsidR="000554BF">
        <w:t>.</w:t>
      </w:r>
    </w:p>
    <w:p w14:paraId="216FA8CF" w14:textId="77777777" w:rsidR="003732BD" w:rsidRDefault="000D7071">
      <w:pPr>
        <w:pStyle w:val="ListParagraph"/>
        <w:numPr>
          <w:ilvl w:val="0"/>
          <w:numId w:val="2"/>
        </w:numPr>
        <w:spacing w:before="40" w:after="40"/>
      </w:pPr>
      <w:r>
        <w:t>Next-generation DNA sequencing</w:t>
      </w:r>
    </w:p>
    <w:p w14:paraId="53ABE397" w14:textId="77777777" w:rsidR="003732BD" w:rsidRDefault="000D7071">
      <w:pPr>
        <w:pStyle w:val="ListParagraph"/>
        <w:numPr>
          <w:ilvl w:val="0"/>
          <w:numId w:val="2"/>
        </w:numPr>
        <w:spacing w:before="40" w:after="40"/>
      </w:pPr>
      <w:r>
        <w:t>SNP (Single Nucleotide Polymorphism) marker analysis</w:t>
      </w:r>
    </w:p>
    <w:p w14:paraId="04470242" w14:textId="77777777" w:rsidR="003732BD" w:rsidRDefault="003732BD">
      <w:pPr>
        <w:spacing w:before="60" w:after="40"/>
      </w:pPr>
    </w:p>
    <w:p w14:paraId="332E4EC2" w14:textId="77777777" w:rsidR="003732BD" w:rsidRDefault="000D7071">
      <w:pPr>
        <w:spacing w:before="60" w:after="80"/>
      </w:pPr>
      <w:r>
        <w:t>This approach allows breeders to identify animals with superior genetic potential as yearlings — before breeding decisions are made — rather than waiting for post-slaughter carcass results.</w:t>
      </w:r>
    </w:p>
    <w:p w14:paraId="12902579" w14:textId="77777777" w:rsidR="003732BD" w:rsidRDefault="003732BD">
      <w:pPr>
        <w:spacing w:before="60" w:after="40"/>
      </w:pPr>
    </w:p>
    <w:p w14:paraId="3EFA40E3" w14:textId="77777777" w:rsidR="003732BD" w:rsidRDefault="000D7071">
      <w:pPr>
        <w:spacing w:before="60" w:after="80"/>
      </w:pPr>
      <w:r>
        <w:t>Animals can be ranked using a genomic selection index, creating a star-rating system (three to five stars) for premium beef traits. The presenter argued this is more precise than EBVs or pedigree estimates because it measures the actual molecular code of the individual animal, not herd averages.</w:t>
      </w:r>
    </w:p>
    <w:p w14:paraId="21982B91" w14:textId="77777777" w:rsidR="003732BD" w:rsidRDefault="003732BD">
      <w:pPr>
        <w:pBdr>
          <w:bottom w:val="single" w:sz="4" w:space="1" w:color="DDDDDD"/>
        </w:pBdr>
        <w:spacing w:before="120" w:after="120"/>
      </w:pPr>
    </w:p>
    <w:p w14:paraId="65CC311D" w14:textId="77777777" w:rsidR="003732BD" w:rsidRDefault="000D7071">
      <w:pPr>
        <w:pStyle w:val="Heading2"/>
      </w:pPr>
      <w:r>
        <w:t>Key Genes in Lipid Metabolism</w:t>
      </w:r>
    </w:p>
    <w:p w14:paraId="658524C3" w14:textId="77777777" w:rsidR="003732BD" w:rsidRDefault="000D7071">
      <w:pPr>
        <w:spacing w:before="60" w:after="80"/>
      </w:pPr>
      <w:r>
        <w:t>Three genes were identified as central to the genomic selection model:</w:t>
      </w:r>
    </w:p>
    <w:p w14:paraId="3FE03703" w14:textId="77777777" w:rsidR="003732BD" w:rsidRDefault="003732BD">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2800"/>
        <w:gridCol w:w="5026"/>
      </w:tblGrid>
      <w:tr w:rsidR="003732BD" w14:paraId="179B4B32" w14:textId="77777777">
        <w:trPr>
          <w:tblHeader/>
        </w:trPr>
        <w:tc>
          <w:tcPr>
            <w:tcW w:w="12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17AB56B1" w14:textId="77777777" w:rsidR="003732BD" w:rsidRDefault="000D7071">
            <w:r>
              <w:rPr>
                <w:b/>
                <w:bCs/>
                <w:color w:val="FFFFFF"/>
                <w:sz w:val="20"/>
                <w:szCs w:val="20"/>
              </w:rPr>
              <w:t>Gene</w:t>
            </w:r>
          </w:p>
        </w:tc>
        <w:tc>
          <w:tcPr>
            <w:tcW w:w="2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23298DA8" w14:textId="77777777" w:rsidR="003732BD" w:rsidRDefault="000D7071">
            <w:r>
              <w:rPr>
                <w:b/>
                <w:bCs/>
                <w:color w:val="FFFFFF"/>
                <w:sz w:val="20"/>
                <w:szCs w:val="20"/>
              </w:rPr>
              <w:t>Full Name</w:t>
            </w:r>
          </w:p>
        </w:tc>
        <w:tc>
          <w:tcPr>
            <w:tcW w:w="5026"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tcPr>
          <w:p w14:paraId="0C2C3935" w14:textId="77777777" w:rsidR="003732BD" w:rsidRDefault="000D7071">
            <w:r>
              <w:rPr>
                <w:b/>
                <w:bCs/>
                <w:color w:val="FFFFFF"/>
                <w:sz w:val="20"/>
                <w:szCs w:val="20"/>
              </w:rPr>
              <w:t>Role in Meat Quality</w:t>
            </w:r>
          </w:p>
        </w:tc>
      </w:tr>
      <w:tr w:rsidR="003732BD" w14:paraId="7E3F97C7"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A085B2" w14:textId="77777777" w:rsidR="003732BD" w:rsidRDefault="000D7071">
            <w:r>
              <w:rPr>
                <w:b/>
                <w:bCs/>
                <w:color w:val="2E5496"/>
                <w:sz w:val="20"/>
                <w:szCs w:val="20"/>
              </w:rPr>
              <w:t>SCD</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35D0EA" w14:textId="77777777" w:rsidR="003732BD" w:rsidRDefault="000D7071">
            <w:r>
              <w:rPr>
                <w:i/>
                <w:iCs/>
                <w:sz w:val="20"/>
                <w:szCs w:val="20"/>
              </w:rPr>
              <w:t>Stearoyl-CoA Desaturase</w:t>
            </w:r>
          </w:p>
        </w:tc>
        <w:tc>
          <w:tcPr>
            <w:tcW w:w="5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9C4CEA" w14:textId="77777777" w:rsidR="003732BD" w:rsidRDefault="000D7071">
            <w:r>
              <w:rPr>
                <w:sz w:val="20"/>
                <w:szCs w:val="20"/>
              </w:rPr>
              <w:t>Converts saturated fats to unsaturated fats. Heavily influences fat softness, flavour and melting point.</w:t>
            </w:r>
          </w:p>
        </w:tc>
      </w:tr>
      <w:tr w:rsidR="003732BD" w14:paraId="3B10D640" w14:textId="77777777">
        <w:tc>
          <w:tcPr>
            <w:tcW w:w="1200" w:type="dxa"/>
            <w:tcBorders>
              <w:top w:val="single" w:sz="1" w:space="0" w:color="CCCCCC"/>
              <w:left w:val="single" w:sz="1" w:space="0" w:color="CCCCCC"/>
              <w:bottom w:val="single" w:sz="1" w:space="0" w:color="CCCCCC"/>
              <w:right w:val="single" w:sz="1" w:space="0" w:color="CCCCCC"/>
            </w:tcBorders>
            <w:shd w:val="clear" w:color="auto" w:fill="EEF2F9"/>
            <w:tcMar>
              <w:top w:w="80" w:type="dxa"/>
              <w:left w:w="120" w:type="dxa"/>
              <w:bottom w:w="80" w:type="dxa"/>
              <w:right w:w="120" w:type="dxa"/>
            </w:tcMar>
          </w:tcPr>
          <w:p w14:paraId="68AEA746" w14:textId="77777777" w:rsidR="003732BD" w:rsidRDefault="000D7071">
            <w:r>
              <w:rPr>
                <w:b/>
                <w:bCs/>
                <w:color w:val="2E5496"/>
                <w:sz w:val="20"/>
                <w:szCs w:val="20"/>
              </w:rPr>
              <w:t>FASN</w:t>
            </w:r>
          </w:p>
        </w:tc>
        <w:tc>
          <w:tcPr>
            <w:tcW w:w="2800" w:type="dxa"/>
            <w:tcBorders>
              <w:top w:val="single" w:sz="1" w:space="0" w:color="CCCCCC"/>
              <w:left w:val="single" w:sz="1" w:space="0" w:color="CCCCCC"/>
              <w:bottom w:val="single" w:sz="1" w:space="0" w:color="CCCCCC"/>
              <w:right w:val="single" w:sz="1" w:space="0" w:color="CCCCCC"/>
            </w:tcBorders>
            <w:shd w:val="clear" w:color="auto" w:fill="EEF2F9"/>
            <w:tcMar>
              <w:top w:w="80" w:type="dxa"/>
              <w:left w:w="120" w:type="dxa"/>
              <w:bottom w:w="80" w:type="dxa"/>
              <w:right w:w="120" w:type="dxa"/>
            </w:tcMar>
          </w:tcPr>
          <w:p w14:paraId="0F541D8C" w14:textId="77777777" w:rsidR="003732BD" w:rsidRDefault="000D7071">
            <w:r>
              <w:rPr>
                <w:i/>
                <w:iCs/>
                <w:sz w:val="20"/>
                <w:szCs w:val="20"/>
              </w:rPr>
              <w:t>Fatty Acid Synthase</w:t>
            </w:r>
          </w:p>
        </w:tc>
        <w:tc>
          <w:tcPr>
            <w:tcW w:w="5026" w:type="dxa"/>
            <w:tcBorders>
              <w:top w:val="single" w:sz="1" w:space="0" w:color="CCCCCC"/>
              <w:left w:val="single" w:sz="1" w:space="0" w:color="CCCCCC"/>
              <w:bottom w:val="single" w:sz="1" w:space="0" w:color="CCCCCC"/>
              <w:right w:val="single" w:sz="1" w:space="0" w:color="CCCCCC"/>
            </w:tcBorders>
            <w:shd w:val="clear" w:color="auto" w:fill="EEF2F9"/>
            <w:tcMar>
              <w:top w:w="80" w:type="dxa"/>
              <w:left w:w="120" w:type="dxa"/>
              <w:bottom w:w="80" w:type="dxa"/>
              <w:right w:w="120" w:type="dxa"/>
            </w:tcMar>
          </w:tcPr>
          <w:p w14:paraId="28FE33AA" w14:textId="77777777" w:rsidR="003732BD" w:rsidRDefault="000D7071">
            <w:r>
              <w:rPr>
                <w:sz w:val="20"/>
                <w:szCs w:val="20"/>
              </w:rPr>
              <w:t>Controls de novo fat synthesis; influences fat deposition and melting characteristics.</w:t>
            </w:r>
          </w:p>
        </w:tc>
      </w:tr>
      <w:tr w:rsidR="003732BD" w14:paraId="18398935" w14:textId="77777777">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F838C2" w14:textId="77777777" w:rsidR="003732BD" w:rsidRDefault="000D7071">
            <w:r>
              <w:rPr>
                <w:b/>
                <w:bCs/>
                <w:color w:val="2E5496"/>
                <w:sz w:val="20"/>
                <w:szCs w:val="20"/>
              </w:rPr>
              <w:t>FABP4</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A62658" w14:textId="77777777" w:rsidR="003732BD" w:rsidRDefault="000D7071">
            <w:r>
              <w:rPr>
                <w:i/>
                <w:iCs/>
                <w:sz w:val="20"/>
                <w:szCs w:val="20"/>
              </w:rPr>
              <w:t>Fatty Acid Binding Protein 4</w:t>
            </w:r>
          </w:p>
        </w:tc>
        <w:tc>
          <w:tcPr>
            <w:tcW w:w="5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19DCD4" w14:textId="77777777" w:rsidR="003732BD" w:rsidRDefault="000D7071">
            <w:r>
              <w:rPr>
                <w:sz w:val="20"/>
                <w:szCs w:val="20"/>
              </w:rPr>
              <w:t>Controls transport and absorption of fatty acids within the body.</w:t>
            </w:r>
          </w:p>
        </w:tc>
      </w:tr>
    </w:tbl>
    <w:p w14:paraId="72518813" w14:textId="77777777" w:rsidR="003732BD" w:rsidRDefault="003732BD">
      <w:pPr>
        <w:spacing w:before="80" w:after="80"/>
      </w:pPr>
    </w:p>
    <w:p w14:paraId="3CDE283B" w14:textId="77777777" w:rsidR="003732BD" w:rsidRDefault="000D7071">
      <w:pPr>
        <w:spacing w:before="60" w:after="80"/>
      </w:pPr>
      <w:r>
        <w:lastRenderedPageBreak/>
        <w:t>Specific SNP mutations within these genes are linked to lower fat melting point, increased omega-3 concentration, higher marbling, softer texture and improved flavour profiles.</w:t>
      </w:r>
    </w:p>
    <w:p w14:paraId="31BA257E" w14:textId="77777777" w:rsidR="003732BD" w:rsidRDefault="003732BD">
      <w:pPr>
        <w:pBdr>
          <w:bottom w:val="single" w:sz="4" w:space="1" w:color="DDDDDD"/>
        </w:pBdr>
        <w:spacing w:before="120" w:after="120"/>
      </w:pPr>
    </w:p>
    <w:p w14:paraId="4D3D263E" w14:textId="77777777" w:rsidR="003732BD" w:rsidRDefault="000D7071">
      <w:pPr>
        <w:pStyle w:val="Heading2"/>
      </w:pPr>
      <w:r>
        <w:t>Bowen Genetics Trial — Breed Comparison</w:t>
      </w:r>
    </w:p>
    <w:p w14:paraId="3DF0FFB3" w14:textId="77777777" w:rsidR="003732BD" w:rsidRDefault="000D7071">
      <w:pPr>
        <w:spacing w:before="60" w:after="80"/>
      </w:pPr>
      <w:r>
        <w:t>A trial conducted with Bowen Genetics tested 127 yearling cattle across Angus, Hereford and Wagyu breeds raised under identical environmental conditions. The goal was not to rank breeds, but to demonstrate the variation in genetic potential available within and across breeds.</w:t>
      </w:r>
    </w:p>
    <w:p w14:paraId="618E546F" w14:textId="77777777" w:rsidR="003732BD" w:rsidRDefault="003732BD">
      <w:pPr>
        <w:spacing w:before="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000"/>
        <w:gridCol w:w="2200"/>
        <w:gridCol w:w="3026"/>
      </w:tblGrid>
      <w:tr w:rsidR="003732BD" w14:paraId="1804DED3" w14:textId="77777777">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2E5496"/>
            <w:tcMar>
              <w:top w:w="80" w:type="dxa"/>
              <w:left w:w="120" w:type="dxa"/>
              <w:bottom w:w="80" w:type="dxa"/>
              <w:right w:w="120" w:type="dxa"/>
            </w:tcMar>
          </w:tcPr>
          <w:p w14:paraId="2C4A216F" w14:textId="77777777" w:rsidR="003732BD" w:rsidRDefault="000D7071">
            <w:r>
              <w:rPr>
                <w:b/>
                <w:bCs/>
                <w:color w:val="FFFFFF"/>
                <w:sz w:val="20"/>
                <w:szCs w:val="20"/>
              </w:rPr>
              <w:t>Breed</w:t>
            </w:r>
          </w:p>
        </w:tc>
        <w:tc>
          <w:tcPr>
            <w:tcW w:w="2000" w:type="dxa"/>
            <w:tcBorders>
              <w:top w:val="single" w:sz="1" w:space="0" w:color="CCCCCC"/>
              <w:left w:val="single" w:sz="1" w:space="0" w:color="CCCCCC"/>
              <w:bottom w:val="single" w:sz="1" w:space="0" w:color="CCCCCC"/>
              <w:right w:val="single" w:sz="1" w:space="0" w:color="CCCCCC"/>
            </w:tcBorders>
            <w:shd w:val="clear" w:color="auto" w:fill="2E5496"/>
            <w:tcMar>
              <w:top w:w="80" w:type="dxa"/>
              <w:left w:w="120" w:type="dxa"/>
              <w:bottom w:w="80" w:type="dxa"/>
              <w:right w:w="120" w:type="dxa"/>
            </w:tcMar>
          </w:tcPr>
          <w:p w14:paraId="32F16383" w14:textId="77777777" w:rsidR="003732BD" w:rsidRDefault="000D7071">
            <w:r>
              <w:rPr>
                <w:b/>
                <w:bCs/>
                <w:color w:val="FFFFFF"/>
                <w:sz w:val="20"/>
                <w:szCs w:val="20"/>
              </w:rPr>
              <w:t>IMF</w:t>
            </w:r>
          </w:p>
        </w:tc>
        <w:tc>
          <w:tcPr>
            <w:tcW w:w="2200" w:type="dxa"/>
            <w:tcBorders>
              <w:top w:val="single" w:sz="1" w:space="0" w:color="CCCCCC"/>
              <w:left w:val="single" w:sz="1" w:space="0" w:color="CCCCCC"/>
              <w:bottom w:val="single" w:sz="1" w:space="0" w:color="CCCCCC"/>
              <w:right w:val="single" w:sz="1" w:space="0" w:color="CCCCCC"/>
            </w:tcBorders>
            <w:shd w:val="clear" w:color="auto" w:fill="2E5496"/>
            <w:tcMar>
              <w:top w:w="80" w:type="dxa"/>
              <w:left w:w="120" w:type="dxa"/>
              <w:bottom w:w="80" w:type="dxa"/>
              <w:right w:w="120" w:type="dxa"/>
            </w:tcMar>
          </w:tcPr>
          <w:p w14:paraId="7183574D" w14:textId="77777777" w:rsidR="003732BD" w:rsidRDefault="000D7071">
            <w:r>
              <w:rPr>
                <w:b/>
                <w:bCs/>
                <w:color w:val="FFFFFF"/>
                <w:sz w:val="20"/>
                <w:szCs w:val="20"/>
              </w:rPr>
              <w:t>Fat Melting Point</w:t>
            </w:r>
          </w:p>
        </w:tc>
        <w:tc>
          <w:tcPr>
            <w:tcW w:w="3026" w:type="dxa"/>
            <w:tcBorders>
              <w:top w:val="single" w:sz="1" w:space="0" w:color="CCCCCC"/>
              <w:left w:val="single" w:sz="1" w:space="0" w:color="CCCCCC"/>
              <w:bottom w:val="single" w:sz="1" w:space="0" w:color="CCCCCC"/>
              <w:right w:val="single" w:sz="1" w:space="0" w:color="CCCCCC"/>
            </w:tcBorders>
            <w:shd w:val="clear" w:color="auto" w:fill="2E5496"/>
            <w:tcMar>
              <w:top w:w="80" w:type="dxa"/>
              <w:left w:w="120" w:type="dxa"/>
              <w:bottom w:w="80" w:type="dxa"/>
              <w:right w:w="120" w:type="dxa"/>
            </w:tcMar>
          </w:tcPr>
          <w:p w14:paraId="56B92673" w14:textId="77777777" w:rsidR="003732BD" w:rsidRDefault="000D7071">
            <w:r>
              <w:rPr>
                <w:b/>
                <w:bCs/>
                <w:color w:val="FFFFFF"/>
                <w:sz w:val="20"/>
                <w:szCs w:val="20"/>
              </w:rPr>
              <w:t>Omega-3 Level</w:t>
            </w:r>
          </w:p>
        </w:tc>
      </w:tr>
      <w:tr w:rsidR="003732BD" w14:paraId="6ADDFC43"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E4FE5A" w14:textId="77777777" w:rsidR="003732BD" w:rsidRDefault="000D7071">
            <w:r>
              <w:rPr>
                <w:b/>
                <w:bCs/>
                <w:sz w:val="20"/>
                <w:szCs w:val="20"/>
              </w:rPr>
              <w:t>Wagyu</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FE70EE" w14:textId="77777777" w:rsidR="003732BD" w:rsidRDefault="000D7071">
            <w:r>
              <w:rPr>
                <w:sz w:val="20"/>
                <w:szCs w:val="20"/>
              </w:rPr>
              <w:t>~11%</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3F10B5" w14:textId="77777777" w:rsidR="003732BD" w:rsidRDefault="000D7071">
            <w:r>
              <w:rPr>
                <w:sz w:val="20"/>
                <w:szCs w:val="20"/>
              </w:rPr>
              <w:t>~33°C</w:t>
            </w:r>
          </w:p>
        </w:tc>
        <w:tc>
          <w:tcPr>
            <w:tcW w:w="3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E70DD14" w14:textId="77777777" w:rsidR="003732BD" w:rsidRDefault="000D7071">
            <w:r>
              <w:rPr>
                <w:sz w:val="20"/>
                <w:szCs w:val="20"/>
              </w:rPr>
              <w:t>Near source threshold</w:t>
            </w:r>
          </w:p>
        </w:tc>
      </w:tr>
      <w:tr w:rsidR="003732BD" w14:paraId="28F9B074" w14:textId="77777777">
        <w:tc>
          <w:tcPr>
            <w:tcW w:w="1800" w:type="dxa"/>
            <w:tcBorders>
              <w:top w:val="single" w:sz="1" w:space="0" w:color="CCCCCC"/>
              <w:left w:val="single" w:sz="1" w:space="0" w:color="CCCCCC"/>
              <w:bottom w:val="single" w:sz="1" w:space="0" w:color="CCCCCC"/>
              <w:right w:val="single" w:sz="1" w:space="0" w:color="CCCCCC"/>
            </w:tcBorders>
            <w:shd w:val="clear" w:color="auto" w:fill="EEF2F9"/>
            <w:tcMar>
              <w:top w:w="80" w:type="dxa"/>
              <w:left w:w="120" w:type="dxa"/>
              <w:bottom w:w="80" w:type="dxa"/>
              <w:right w:w="120" w:type="dxa"/>
            </w:tcMar>
          </w:tcPr>
          <w:p w14:paraId="612398CA" w14:textId="77777777" w:rsidR="003732BD" w:rsidRDefault="000D7071">
            <w:r>
              <w:rPr>
                <w:b/>
                <w:bCs/>
                <w:sz w:val="20"/>
                <w:szCs w:val="20"/>
              </w:rPr>
              <w:t>Angus</w:t>
            </w:r>
          </w:p>
        </w:tc>
        <w:tc>
          <w:tcPr>
            <w:tcW w:w="2000" w:type="dxa"/>
            <w:tcBorders>
              <w:top w:val="single" w:sz="1" w:space="0" w:color="CCCCCC"/>
              <w:left w:val="single" w:sz="1" w:space="0" w:color="CCCCCC"/>
              <w:bottom w:val="single" w:sz="1" w:space="0" w:color="CCCCCC"/>
              <w:right w:val="single" w:sz="1" w:space="0" w:color="CCCCCC"/>
            </w:tcBorders>
            <w:shd w:val="clear" w:color="auto" w:fill="EEF2F9"/>
            <w:tcMar>
              <w:top w:w="80" w:type="dxa"/>
              <w:left w:w="120" w:type="dxa"/>
              <w:bottom w:w="80" w:type="dxa"/>
              <w:right w:w="120" w:type="dxa"/>
            </w:tcMar>
          </w:tcPr>
          <w:p w14:paraId="2DA9605D" w14:textId="77777777" w:rsidR="003732BD" w:rsidRDefault="000D7071">
            <w:r>
              <w:rPr>
                <w:sz w:val="20"/>
                <w:szCs w:val="20"/>
              </w:rPr>
              <w:t>Mid-range</w:t>
            </w:r>
          </w:p>
        </w:tc>
        <w:tc>
          <w:tcPr>
            <w:tcW w:w="2200" w:type="dxa"/>
            <w:tcBorders>
              <w:top w:val="single" w:sz="1" w:space="0" w:color="CCCCCC"/>
              <w:left w:val="single" w:sz="1" w:space="0" w:color="CCCCCC"/>
              <w:bottom w:val="single" w:sz="1" w:space="0" w:color="CCCCCC"/>
              <w:right w:val="single" w:sz="1" w:space="0" w:color="CCCCCC"/>
            </w:tcBorders>
            <w:shd w:val="clear" w:color="auto" w:fill="EEF2F9"/>
            <w:tcMar>
              <w:top w:w="80" w:type="dxa"/>
              <w:left w:w="120" w:type="dxa"/>
              <w:bottom w:w="80" w:type="dxa"/>
              <w:right w:w="120" w:type="dxa"/>
            </w:tcMar>
          </w:tcPr>
          <w:p w14:paraId="55E2A79A" w14:textId="77777777" w:rsidR="003732BD" w:rsidRDefault="000D7071">
            <w:r>
              <w:rPr>
                <w:sz w:val="20"/>
                <w:szCs w:val="20"/>
              </w:rPr>
              <w:t>Mid-range</w:t>
            </w:r>
          </w:p>
        </w:tc>
        <w:tc>
          <w:tcPr>
            <w:tcW w:w="3026" w:type="dxa"/>
            <w:tcBorders>
              <w:top w:val="single" w:sz="1" w:space="0" w:color="CCCCCC"/>
              <w:left w:val="single" w:sz="1" w:space="0" w:color="CCCCCC"/>
              <w:bottom w:val="single" w:sz="1" w:space="0" w:color="CCCCCC"/>
              <w:right w:val="single" w:sz="1" w:space="0" w:color="CCCCCC"/>
            </w:tcBorders>
            <w:shd w:val="clear" w:color="auto" w:fill="EEF2F9"/>
            <w:tcMar>
              <w:top w:w="80" w:type="dxa"/>
              <w:left w:w="120" w:type="dxa"/>
              <w:bottom w:w="80" w:type="dxa"/>
              <w:right w:w="120" w:type="dxa"/>
            </w:tcMar>
          </w:tcPr>
          <w:p w14:paraId="73449449" w14:textId="77777777" w:rsidR="003732BD" w:rsidRDefault="000D7071">
            <w:r>
              <w:rPr>
                <w:sz w:val="20"/>
                <w:szCs w:val="20"/>
              </w:rPr>
              <w:t>Mid-range</w:t>
            </w:r>
          </w:p>
        </w:tc>
      </w:tr>
      <w:tr w:rsidR="003732BD" w14:paraId="6A7AE958"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F31667" w14:textId="77777777" w:rsidR="003732BD" w:rsidRDefault="000D7071">
            <w:r>
              <w:rPr>
                <w:b/>
                <w:bCs/>
                <w:sz w:val="20"/>
                <w:szCs w:val="20"/>
              </w:rPr>
              <w:t>Hereford</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EE63B3" w14:textId="3464D1AE" w:rsidR="00CC4282" w:rsidRDefault="00FA2D31">
            <w:pPr>
              <w:rPr>
                <w:sz w:val="20"/>
                <w:szCs w:val="20"/>
              </w:rPr>
            </w:pPr>
            <w:r>
              <w:rPr>
                <w:sz w:val="20"/>
                <w:szCs w:val="20"/>
              </w:rPr>
              <w:t>Still within</w:t>
            </w:r>
          </w:p>
          <w:p w14:paraId="41AF331A" w14:textId="53BD36DB" w:rsidR="003732BD" w:rsidRDefault="000D7071">
            <w:r>
              <w:rPr>
                <w:sz w:val="20"/>
                <w:szCs w:val="20"/>
              </w:rPr>
              <w:t xml:space="preserve"> eating quality threshold</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48436F" w14:textId="77777777" w:rsidR="003732BD" w:rsidRDefault="000D7071">
            <w:r>
              <w:rPr>
                <w:sz w:val="20"/>
                <w:szCs w:val="20"/>
              </w:rPr>
              <w:t>Higher</w:t>
            </w:r>
          </w:p>
        </w:tc>
        <w:tc>
          <w:tcPr>
            <w:tcW w:w="3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44FF51B" w14:textId="77777777" w:rsidR="003732BD" w:rsidRDefault="000D7071">
            <w:r>
              <w:rPr>
                <w:sz w:val="20"/>
                <w:szCs w:val="20"/>
              </w:rPr>
              <w:t>Lower</w:t>
            </w:r>
          </w:p>
        </w:tc>
      </w:tr>
    </w:tbl>
    <w:p w14:paraId="0856BB53" w14:textId="77777777" w:rsidR="003732BD" w:rsidRDefault="003732BD">
      <w:pPr>
        <w:spacing w:before="80" w:after="80"/>
      </w:pPr>
    </w:p>
    <w:p w14:paraId="025D1747" w14:textId="77777777" w:rsidR="003732BD" w:rsidRDefault="000D7071">
      <w:pPr>
        <w:spacing w:before="60" w:after="80"/>
      </w:pPr>
      <w:r>
        <w:t>The presenter emphasised that the significant variation observed within breeds is where the real opportunity lies — genomic selection allows producers to identify and retain the top-performing animals within any breed.</w:t>
      </w:r>
    </w:p>
    <w:p w14:paraId="4852B424" w14:textId="77777777" w:rsidR="003732BD" w:rsidRDefault="003732BD">
      <w:pPr>
        <w:pBdr>
          <w:bottom w:val="single" w:sz="4" w:space="1" w:color="DDDDDD"/>
        </w:pBdr>
        <w:spacing w:before="120" w:after="120"/>
      </w:pPr>
    </w:p>
    <w:p w14:paraId="27D5AF82" w14:textId="77777777" w:rsidR="003732BD" w:rsidRDefault="000D7071">
      <w:pPr>
        <w:pStyle w:val="Heading2"/>
      </w:pPr>
      <w:r>
        <w:t>Future Direction</w:t>
      </w:r>
    </w:p>
    <w:p w14:paraId="4BBAE452" w14:textId="77777777" w:rsidR="003732BD" w:rsidRDefault="000D7071">
      <w:pPr>
        <w:spacing w:before="60" w:after="80"/>
      </w:pPr>
      <w:r>
        <w:t>The long-term vision outlined in the presentation includes:</w:t>
      </w:r>
    </w:p>
    <w:p w14:paraId="5BD5EC50" w14:textId="77777777" w:rsidR="003732BD" w:rsidRDefault="003732BD">
      <w:pPr>
        <w:spacing w:before="60" w:after="40"/>
      </w:pPr>
    </w:p>
    <w:p w14:paraId="38D7A0B0" w14:textId="77777777" w:rsidR="003732BD" w:rsidRDefault="000D7071">
      <w:pPr>
        <w:pStyle w:val="ListParagraph"/>
        <w:numPr>
          <w:ilvl w:val="0"/>
          <w:numId w:val="2"/>
        </w:numPr>
        <w:spacing w:before="40" w:after="40"/>
      </w:pPr>
      <w:r>
        <w:t>Portable, customised gene-testing systems enabling rapid on-farm genomic assessment</w:t>
      </w:r>
    </w:p>
    <w:p w14:paraId="433C61CB" w14:textId="77777777" w:rsidR="003732BD" w:rsidRDefault="000D7071">
      <w:pPr>
        <w:pStyle w:val="ListParagraph"/>
        <w:numPr>
          <w:ilvl w:val="0"/>
          <w:numId w:val="2"/>
        </w:numPr>
        <w:spacing w:before="40" w:after="40"/>
      </w:pPr>
      <w:r>
        <w:t>Ongoing technology development partnerships in Silicon Valley and China</w:t>
      </w:r>
    </w:p>
    <w:p w14:paraId="7E808B20" w14:textId="77777777" w:rsidR="003732BD" w:rsidRDefault="000D7071">
      <w:pPr>
        <w:pStyle w:val="ListParagraph"/>
        <w:numPr>
          <w:ilvl w:val="0"/>
          <w:numId w:val="2"/>
        </w:numPr>
        <w:spacing w:before="40" w:after="40"/>
      </w:pPr>
      <w:r>
        <w:t>Integration of genomics, nutrition and molecular biology into a unified precision breeding approach</w:t>
      </w:r>
    </w:p>
    <w:p w14:paraId="2466376C" w14:textId="77777777" w:rsidR="003732BD" w:rsidRDefault="003732BD">
      <w:pPr>
        <w:spacing w:before="60" w:after="40"/>
      </w:pPr>
    </w:p>
    <w:p w14:paraId="0068FA30" w14:textId="77777777" w:rsidR="003732BD" w:rsidRDefault="000D7071">
      <w:pPr>
        <w:spacing w:before="60" w:after="80"/>
      </w:pPr>
      <w:r>
        <w:t>The presenter positioned genomic selection as the next major frontier in premium beef — particularly for branded beef programs seeking consistency, differentiation and scientifically validated quality claims.</w:t>
      </w:r>
    </w:p>
    <w:p w14:paraId="5652AFA5" w14:textId="77777777" w:rsidR="003732BD" w:rsidRDefault="003732BD">
      <w:pPr>
        <w:pBdr>
          <w:bottom w:val="single" w:sz="4" w:space="1" w:color="DDDDDD"/>
        </w:pBdr>
        <w:spacing w:before="120" w:after="120"/>
      </w:pPr>
    </w:p>
    <w:p w14:paraId="3D292D3A" w14:textId="77777777" w:rsidR="003732BD" w:rsidRDefault="000D7071">
      <w:pPr>
        <w:pStyle w:val="Heading2"/>
      </w:pPr>
      <w:r>
        <w:t>Key Takeaways</w:t>
      </w:r>
    </w:p>
    <w:p w14:paraId="6FB8DB97" w14:textId="77777777" w:rsidR="003732BD" w:rsidRDefault="000D7071">
      <w:pPr>
        <w:pStyle w:val="ListParagraph"/>
        <w:numPr>
          <w:ilvl w:val="0"/>
          <w:numId w:val="2"/>
        </w:numPr>
        <w:spacing w:before="40" w:after="40"/>
      </w:pPr>
      <w:r>
        <w:t>Visual assessment and pedigree alone are insufficient to reliably select for premium eating quality traits.</w:t>
      </w:r>
    </w:p>
    <w:p w14:paraId="21CD21AC" w14:textId="77777777" w:rsidR="003732BD" w:rsidRDefault="000D7071">
      <w:pPr>
        <w:pStyle w:val="ListParagraph"/>
        <w:numPr>
          <w:ilvl w:val="0"/>
          <w:numId w:val="2"/>
        </w:numPr>
        <w:spacing w:before="40" w:after="40"/>
      </w:pPr>
      <w:r>
        <w:t>Marbling, fat melting point and omega-3 content are the three defining pillars of premium beef value.</w:t>
      </w:r>
    </w:p>
    <w:p w14:paraId="55919A07" w14:textId="77777777" w:rsidR="003732BD" w:rsidRDefault="000D7071">
      <w:pPr>
        <w:pStyle w:val="ListParagraph"/>
        <w:numPr>
          <w:ilvl w:val="0"/>
          <w:numId w:val="2"/>
        </w:numPr>
        <w:spacing w:before="40" w:after="40"/>
      </w:pPr>
      <w:r>
        <w:t>Specific genes (SCD, FASN, FABP4) and their SNP variants are now identifiable and usable for early selection.</w:t>
      </w:r>
    </w:p>
    <w:p w14:paraId="4DCED084" w14:textId="77777777" w:rsidR="003732BD" w:rsidRDefault="000D7071">
      <w:pPr>
        <w:pStyle w:val="ListParagraph"/>
        <w:numPr>
          <w:ilvl w:val="0"/>
          <w:numId w:val="2"/>
        </w:numPr>
        <w:spacing w:before="40" w:after="40"/>
      </w:pPr>
      <w:r>
        <w:t>Genomic testing enables proactive breeding decisions — before slaughter, before carcass data, even before the animal reaches breeding age.</w:t>
      </w:r>
    </w:p>
    <w:p w14:paraId="122226DB" w14:textId="77777777" w:rsidR="003732BD" w:rsidRDefault="000D7071">
      <w:pPr>
        <w:pStyle w:val="ListParagraph"/>
        <w:numPr>
          <w:ilvl w:val="0"/>
          <w:numId w:val="2"/>
        </w:numPr>
        <w:spacing w:before="40" w:after="40"/>
      </w:pPr>
      <w:r>
        <w:t>Significant genetic variation exists within breeds — the real prize is identifying elite individuals, not just elite breeds.</w:t>
      </w:r>
    </w:p>
    <w:p w14:paraId="43395D4D" w14:textId="77777777" w:rsidR="003732BD" w:rsidRDefault="000D7071">
      <w:pPr>
        <w:pStyle w:val="ListParagraph"/>
        <w:numPr>
          <w:ilvl w:val="0"/>
          <w:numId w:val="2"/>
        </w:numPr>
        <w:spacing w:before="40" w:after="40"/>
      </w:pPr>
      <w:r>
        <w:t>The beef industry is moving toward precision breeding as the path to consistent, differentiated, scientifically validated premium products.</w:t>
      </w:r>
    </w:p>
    <w:p w14:paraId="0ABD203A" w14:textId="77777777" w:rsidR="003732BD" w:rsidRDefault="003732BD">
      <w:pPr>
        <w:spacing w:before="160"/>
      </w:pPr>
    </w:p>
    <w:p w14:paraId="148A0EF7" w14:textId="77777777" w:rsidR="003732BD" w:rsidRDefault="000D7071">
      <w:pPr>
        <w:spacing w:before="60" w:after="80"/>
      </w:pPr>
      <w:r>
        <w:rPr>
          <w:i/>
          <w:iCs/>
          <w:color w:val="AAAAAA"/>
          <w:sz w:val="18"/>
          <w:szCs w:val="18"/>
        </w:rPr>
        <w:t>— End of Summary —</w:t>
      </w:r>
    </w:p>
    <w:sectPr w:rsidR="003732BD">
      <w:pgSz w:w="11906" w:h="16838"/>
      <w:pgMar w:top="1200" w:right="1300" w:bottom="1200" w:left="13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4B27"/>
    <w:multiLevelType w:val="hybridMultilevel"/>
    <w:tmpl w:val="A4BC590A"/>
    <w:lvl w:ilvl="0" w:tplc="5D620212">
      <w:start w:val="1"/>
      <w:numFmt w:val="bullet"/>
      <w:lvlText w:val="–"/>
      <w:lvlJc w:val="left"/>
      <w:pPr>
        <w:ind w:left="540" w:hanging="260"/>
      </w:pPr>
    </w:lvl>
    <w:lvl w:ilvl="1" w:tplc="E09EBFF8">
      <w:numFmt w:val="decimal"/>
      <w:lvlText w:val=""/>
      <w:lvlJc w:val="left"/>
    </w:lvl>
    <w:lvl w:ilvl="2" w:tplc="3F3E8E9C">
      <w:numFmt w:val="decimal"/>
      <w:lvlText w:val=""/>
      <w:lvlJc w:val="left"/>
    </w:lvl>
    <w:lvl w:ilvl="3" w:tplc="698C9E6A">
      <w:numFmt w:val="decimal"/>
      <w:lvlText w:val=""/>
      <w:lvlJc w:val="left"/>
    </w:lvl>
    <w:lvl w:ilvl="4" w:tplc="B57CF574">
      <w:numFmt w:val="decimal"/>
      <w:lvlText w:val=""/>
      <w:lvlJc w:val="left"/>
    </w:lvl>
    <w:lvl w:ilvl="5" w:tplc="27622B82">
      <w:numFmt w:val="decimal"/>
      <w:lvlText w:val=""/>
      <w:lvlJc w:val="left"/>
    </w:lvl>
    <w:lvl w:ilvl="6" w:tplc="9D2403B0">
      <w:numFmt w:val="decimal"/>
      <w:lvlText w:val=""/>
      <w:lvlJc w:val="left"/>
    </w:lvl>
    <w:lvl w:ilvl="7" w:tplc="C824C664">
      <w:numFmt w:val="decimal"/>
      <w:lvlText w:val=""/>
      <w:lvlJc w:val="left"/>
    </w:lvl>
    <w:lvl w:ilvl="8" w:tplc="5E72BBA4">
      <w:numFmt w:val="decimal"/>
      <w:lvlText w:val=""/>
      <w:lvlJc w:val="left"/>
    </w:lvl>
  </w:abstractNum>
  <w:abstractNum w:abstractNumId="1" w15:restartNumberingAfterBreak="0">
    <w:nsid w:val="2A4A1617"/>
    <w:multiLevelType w:val="hybridMultilevel"/>
    <w:tmpl w:val="5AACDE52"/>
    <w:lvl w:ilvl="0" w:tplc="A7F639A0">
      <w:start w:val="1"/>
      <w:numFmt w:val="bullet"/>
      <w:lvlText w:val="●"/>
      <w:lvlJc w:val="left"/>
      <w:pPr>
        <w:ind w:left="720" w:hanging="360"/>
      </w:pPr>
    </w:lvl>
    <w:lvl w:ilvl="1" w:tplc="3B40696C">
      <w:start w:val="1"/>
      <w:numFmt w:val="bullet"/>
      <w:lvlText w:val="○"/>
      <w:lvlJc w:val="left"/>
      <w:pPr>
        <w:ind w:left="1440" w:hanging="360"/>
      </w:pPr>
    </w:lvl>
    <w:lvl w:ilvl="2" w:tplc="C6E6FA46">
      <w:start w:val="1"/>
      <w:numFmt w:val="bullet"/>
      <w:lvlText w:val="■"/>
      <w:lvlJc w:val="left"/>
      <w:pPr>
        <w:ind w:left="2160" w:hanging="360"/>
      </w:pPr>
    </w:lvl>
    <w:lvl w:ilvl="3" w:tplc="F446D1AE">
      <w:start w:val="1"/>
      <w:numFmt w:val="bullet"/>
      <w:lvlText w:val="●"/>
      <w:lvlJc w:val="left"/>
      <w:pPr>
        <w:ind w:left="2880" w:hanging="360"/>
      </w:pPr>
    </w:lvl>
    <w:lvl w:ilvl="4" w:tplc="A9EA2500">
      <w:start w:val="1"/>
      <w:numFmt w:val="bullet"/>
      <w:lvlText w:val="○"/>
      <w:lvlJc w:val="left"/>
      <w:pPr>
        <w:ind w:left="3600" w:hanging="360"/>
      </w:pPr>
    </w:lvl>
    <w:lvl w:ilvl="5" w:tplc="C13A7ECE">
      <w:start w:val="1"/>
      <w:numFmt w:val="bullet"/>
      <w:lvlText w:val="■"/>
      <w:lvlJc w:val="left"/>
      <w:pPr>
        <w:ind w:left="4320" w:hanging="360"/>
      </w:pPr>
    </w:lvl>
    <w:lvl w:ilvl="6" w:tplc="1E20103A">
      <w:start w:val="1"/>
      <w:numFmt w:val="bullet"/>
      <w:lvlText w:val="●"/>
      <w:lvlJc w:val="left"/>
      <w:pPr>
        <w:ind w:left="5040" w:hanging="360"/>
      </w:pPr>
    </w:lvl>
    <w:lvl w:ilvl="7" w:tplc="E86CFF6E">
      <w:start w:val="1"/>
      <w:numFmt w:val="bullet"/>
      <w:lvlText w:val="●"/>
      <w:lvlJc w:val="left"/>
      <w:pPr>
        <w:ind w:left="5760" w:hanging="360"/>
      </w:pPr>
    </w:lvl>
    <w:lvl w:ilvl="8" w:tplc="BBFA0864">
      <w:start w:val="1"/>
      <w:numFmt w:val="bullet"/>
      <w:lvlText w:val="●"/>
      <w:lvlJc w:val="left"/>
      <w:pPr>
        <w:ind w:left="6480" w:hanging="360"/>
      </w:pPr>
    </w:lvl>
  </w:abstractNum>
  <w:num w:numId="1" w16cid:durableId="780035678">
    <w:abstractNumId w:val="1"/>
    <w:lvlOverride w:ilvl="0">
      <w:startOverride w:val="1"/>
    </w:lvlOverride>
  </w:num>
  <w:num w:numId="2" w16cid:durableId="7077287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BD"/>
    <w:rsid w:val="00030E2F"/>
    <w:rsid w:val="000554BF"/>
    <w:rsid w:val="000D7071"/>
    <w:rsid w:val="00114958"/>
    <w:rsid w:val="0026049C"/>
    <w:rsid w:val="002E40E8"/>
    <w:rsid w:val="00363ECC"/>
    <w:rsid w:val="003732BD"/>
    <w:rsid w:val="004814B3"/>
    <w:rsid w:val="00502664"/>
    <w:rsid w:val="005545F0"/>
    <w:rsid w:val="0069771B"/>
    <w:rsid w:val="006F6F43"/>
    <w:rsid w:val="00800E5A"/>
    <w:rsid w:val="008F4AE1"/>
    <w:rsid w:val="009057ED"/>
    <w:rsid w:val="00930A1E"/>
    <w:rsid w:val="00957E15"/>
    <w:rsid w:val="00973063"/>
    <w:rsid w:val="00C8756F"/>
    <w:rsid w:val="00CA2DCD"/>
    <w:rsid w:val="00CB6103"/>
    <w:rsid w:val="00CC4282"/>
    <w:rsid w:val="00DC398D"/>
    <w:rsid w:val="00E57488"/>
    <w:rsid w:val="00F9649D"/>
    <w:rsid w:val="00FA2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4948"/>
  <w15:docId w15:val="{DEA48322-23E6-4146-B00E-CAD89AEF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color w:val="1F3864"/>
      <w:sz w:val="40"/>
      <w:szCs w:val="40"/>
    </w:rPr>
  </w:style>
  <w:style w:type="paragraph" w:styleId="Heading2">
    <w:name w:val="heading 2"/>
    <w:uiPriority w:val="9"/>
    <w:unhideWhenUsed/>
    <w:qFormat/>
    <w:pPr>
      <w:spacing w:before="300" w:after="100"/>
      <w:outlineLvl w:val="1"/>
    </w:pPr>
    <w:rPr>
      <w:b/>
      <w:bCs/>
      <w:color w:val="2E549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1310</TotalTime>
  <Pages>4</Pages>
  <Words>909</Words>
  <Characters>5186</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Jodi Peake</cp:lastModifiedBy>
  <cp:revision>23</cp:revision>
  <dcterms:created xsi:type="dcterms:W3CDTF">2026-05-17T02:04:00Z</dcterms:created>
  <dcterms:modified xsi:type="dcterms:W3CDTF">2026-05-19T05:49:00Z</dcterms:modified>
</cp:coreProperties>
</file>